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BB59" w14:textId="77777777" w:rsidR="00431B6F" w:rsidRPr="0022320E" w:rsidRDefault="0022320E" w:rsidP="00ED2305">
      <w:pPr>
        <w:pStyle w:val="Paragraphedeliste"/>
        <w:pBdr>
          <w:top w:val="single" w:sz="4" w:space="1" w:color="auto"/>
          <w:left w:val="single" w:sz="4" w:space="4" w:color="auto"/>
          <w:bottom w:val="single" w:sz="4" w:space="1" w:color="auto"/>
          <w:right w:val="single" w:sz="4" w:space="4" w:color="auto"/>
        </w:pBdr>
        <w:shd w:val="clear" w:color="auto" w:fill="4F81BD" w:themeFill="accent1"/>
        <w:ind w:left="360" w:firstLine="348"/>
        <w:jc w:val="center"/>
        <w:rPr>
          <w:color w:val="FFFFFF" w:themeColor="background1"/>
        </w:rPr>
      </w:pPr>
      <w:r w:rsidRPr="0022320E">
        <w:rPr>
          <w:rFonts w:asciiTheme="minorHAnsi" w:hAnsiTheme="minorHAnsi" w:cstheme="minorHAnsi"/>
          <w:b/>
          <w:bCs/>
          <w:color w:val="FFFFFF" w:themeColor="background1"/>
        </w:rPr>
        <w:t>VACCINATION CONTRE LES INFECTIONS INVASIVES A MENINGOCOQUES</w:t>
      </w:r>
    </w:p>
    <w:p w14:paraId="051F20E6" w14:textId="77777777" w:rsidR="00431B6F" w:rsidRDefault="00431B6F" w:rsidP="00431B6F">
      <w:pPr>
        <w:pStyle w:val="Sansinterligne"/>
      </w:pPr>
    </w:p>
    <w:p w14:paraId="163DC9AF" w14:textId="77777777" w:rsidR="00431B6F" w:rsidRDefault="00431B6F" w:rsidP="00431B6F">
      <w:pPr>
        <w:pStyle w:val="Sansinterligne"/>
      </w:pPr>
    </w:p>
    <w:p w14:paraId="5B6F05E8" w14:textId="77777777" w:rsidR="00431B6F" w:rsidRDefault="00431B6F" w:rsidP="00431B6F">
      <w:pPr>
        <w:pStyle w:val="Sansinterligne"/>
      </w:pPr>
    </w:p>
    <w:p w14:paraId="4D426C1F" w14:textId="14C9CFE8" w:rsidR="00431B6F" w:rsidRPr="00977BDB" w:rsidRDefault="00977BDB" w:rsidP="00977BDB">
      <w:pPr>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Calibri" w:hAnsi="Calibri" w:cs="Calibri"/>
          <w:b/>
          <w:color w:val="1F497D"/>
          <w:sz w:val="22"/>
          <w:szCs w:val="22"/>
          <w:lang w:eastAsia="en-US"/>
        </w:rPr>
      </w:pPr>
      <w:r w:rsidRPr="00977BDB">
        <w:rPr>
          <w:rFonts w:ascii="Calibri" w:hAnsi="Calibri" w:cs="Calibri"/>
          <w:b/>
          <w:color w:val="1F497D"/>
          <w:sz w:val="22"/>
          <w:szCs w:val="22"/>
          <w:lang w:eastAsia="en-US"/>
        </w:rPr>
        <w:t>1-</w:t>
      </w:r>
      <w:r>
        <w:rPr>
          <w:rFonts w:ascii="Calibri" w:hAnsi="Calibri" w:cs="Calibri"/>
          <w:b/>
          <w:color w:val="1F497D"/>
          <w:sz w:val="22"/>
          <w:szCs w:val="22"/>
          <w:lang w:eastAsia="en-US"/>
        </w:rPr>
        <w:t xml:space="preserve"> </w:t>
      </w:r>
      <w:r w:rsidR="0022320E" w:rsidRPr="00977BDB">
        <w:rPr>
          <w:rFonts w:ascii="Calibri" w:hAnsi="Calibri" w:cs="Calibri"/>
          <w:b/>
          <w:color w:val="1F497D"/>
          <w:sz w:val="22"/>
          <w:szCs w:val="22"/>
          <w:lang w:eastAsia="en-US"/>
        </w:rPr>
        <w:t>VACCINATION SOUCHES ACWY</w:t>
      </w:r>
    </w:p>
    <w:p w14:paraId="083ACF1C" w14:textId="38509B7D" w:rsidR="001B23BF" w:rsidRDefault="001B23BF" w:rsidP="001B23BF">
      <w:pPr>
        <w:pStyle w:val="Paragraphedeliste"/>
        <w:ind w:left="360"/>
        <w:rPr>
          <w:rFonts w:ascii="Calibri" w:hAnsi="Calibri" w:cs="Calibri"/>
          <w:b/>
        </w:rPr>
      </w:pPr>
    </w:p>
    <w:p w14:paraId="302127EA" w14:textId="6FEA2A75" w:rsidR="009D11D7" w:rsidRPr="009D11D7" w:rsidRDefault="009D11D7" w:rsidP="00FB05CB">
      <w:pPr>
        <w:pStyle w:val="Paragraphedeliste"/>
        <w:ind w:left="360"/>
        <w:jc w:val="both"/>
        <w:rPr>
          <w:rStyle w:val="Lienhypertexte"/>
          <w:rFonts w:ascii="Calibri" w:hAnsi="Calibri"/>
          <w:b/>
          <w:color w:val="FF0000"/>
          <w:sz w:val="22"/>
          <w:szCs w:val="22"/>
          <w:lang w:eastAsia="en-US"/>
        </w:rPr>
      </w:pPr>
      <w:r w:rsidRPr="009D11D7">
        <w:rPr>
          <w:rFonts w:ascii="Calibri" w:hAnsi="Calibri" w:cs="Calibri"/>
          <w:b/>
          <w:color w:val="FF0000"/>
          <w:sz w:val="22"/>
          <w:szCs w:val="22"/>
          <w:u w:val="single"/>
        </w:rPr>
        <w:t xml:space="preserve">Rappel des recommandations spécifiques MenACWY du </w:t>
      </w:r>
      <w:hyperlink r:id="rId5" w:history="1">
        <w:r w:rsidRPr="009D11D7">
          <w:rPr>
            <w:rStyle w:val="Lienhypertexte"/>
            <w:rFonts w:ascii="Calibri" w:hAnsi="Calibri"/>
            <w:b/>
            <w:color w:val="FF0000"/>
            <w:sz w:val="22"/>
            <w:szCs w:val="22"/>
            <w:lang w:eastAsia="en-US"/>
          </w:rPr>
          <w:t>HAS le 11 mars 2021</w:t>
        </w:r>
      </w:hyperlink>
      <w:r w:rsidRPr="009D11D7">
        <w:rPr>
          <w:rStyle w:val="Lienhypertexte"/>
          <w:rFonts w:ascii="Calibri" w:hAnsi="Calibri"/>
          <w:b/>
          <w:color w:val="FF0000"/>
          <w:sz w:val="22"/>
          <w:szCs w:val="22"/>
          <w:lang w:eastAsia="en-US"/>
        </w:rPr>
        <w:t> : populations à risque</w:t>
      </w:r>
      <w:r w:rsidR="00977BDB">
        <w:rPr>
          <w:rStyle w:val="Lienhypertexte"/>
          <w:rFonts w:ascii="Calibri" w:hAnsi="Calibri"/>
          <w:b/>
          <w:color w:val="FF0000"/>
          <w:sz w:val="22"/>
          <w:szCs w:val="22"/>
          <w:lang w:eastAsia="en-US"/>
        </w:rPr>
        <w:t xml:space="preserve"> de contracter une IIM</w:t>
      </w:r>
    </w:p>
    <w:p w14:paraId="0305176D" w14:textId="77777777" w:rsidR="009D11D7" w:rsidRPr="009D11D7" w:rsidRDefault="009D11D7" w:rsidP="00FB05CB">
      <w:pPr>
        <w:pStyle w:val="Paragraphedeliste"/>
        <w:numPr>
          <w:ilvl w:val="0"/>
          <w:numId w:val="6"/>
        </w:numPr>
        <w:ind w:left="360"/>
        <w:jc w:val="both"/>
        <w:rPr>
          <w:rFonts w:ascii="Calibri" w:hAnsi="Calibri" w:cs="Calibri"/>
          <w:i/>
          <w:color w:val="FF0000"/>
          <w:sz w:val="22"/>
          <w:szCs w:val="22"/>
        </w:rPr>
      </w:pPr>
      <w:r w:rsidRPr="009D11D7">
        <w:rPr>
          <w:rFonts w:ascii="Calibri" w:hAnsi="Calibri" w:cs="Calibri"/>
          <w:i/>
          <w:color w:val="FF0000"/>
          <w:sz w:val="22"/>
          <w:szCs w:val="22"/>
        </w:rPr>
        <w:t>Personnes souffrant de déficit en fraction terminale du complément, recevant un traitement anti-C5, porteuses d’un déficit en properdine ou ayant une asplénie anatomique ou fonctionnelle et chez les personnes ayant reçu une greffe de cellules souches hématopoïétiques : la vaccination est recommandée par un vaccin tétravalent conjugué ACWY. Pour ces personnes, un rappel de vaccin tétravalent ACWY est recommandé tous les 5 ans.</w:t>
      </w:r>
    </w:p>
    <w:p w14:paraId="756054C9" w14:textId="77777777" w:rsidR="009D11D7" w:rsidRPr="009D11D7" w:rsidRDefault="009D11D7" w:rsidP="00FB05CB">
      <w:pPr>
        <w:pStyle w:val="Paragraphedeliste"/>
        <w:numPr>
          <w:ilvl w:val="0"/>
          <w:numId w:val="6"/>
        </w:numPr>
        <w:ind w:left="360"/>
        <w:jc w:val="both"/>
        <w:rPr>
          <w:rFonts w:ascii="Calibri" w:hAnsi="Calibri" w:cs="Calibri"/>
          <w:i/>
          <w:color w:val="FF0000"/>
          <w:sz w:val="22"/>
          <w:szCs w:val="22"/>
        </w:rPr>
      </w:pPr>
      <w:r w:rsidRPr="009D11D7">
        <w:rPr>
          <w:rFonts w:ascii="Calibri" w:hAnsi="Calibri" w:cs="Calibri"/>
          <w:i/>
          <w:color w:val="FF0000"/>
          <w:sz w:val="22"/>
          <w:szCs w:val="22"/>
        </w:rPr>
        <w:t>Personnels des laboratoires de recherche travaillant spécifiquement sur le méningocoque.</w:t>
      </w:r>
    </w:p>
    <w:p w14:paraId="0BA198F6" w14:textId="77777777" w:rsidR="009D11D7" w:rsidRPr="009D11D7" w:rsidRDefault="009D11D7" w:rsidP="00FB05CB">
      <w:pPr>
        <w:pStyle w:val="Paragraphedeliste"/>
        <w:numPr>
          <w:ilvl w:val="0"/>
          <w:numId w:val="6"/>
        </w:numPr>
        <w:ind w:left="360"/>
        <w:jc w:val="both"/>
        <w:rPr>
          <w:rFonts w:ascii="Calibri" w:hAnsi="Calibri" w:cs="Calibri"/>
          <w:i/>
          <w:color w:val="FF0000"/>
          <w:sz w:val="22"/>
          <w:szCs w:val="22"/>
        </w:rPr>
      </w:pPr>
      <w:r w:rsidRPr="009D11D7">
        <w:rPr>
          <w:rFonts w:ascii="Calibri" w:hAnsi="Calibri" w:cs="Calibri"/>
          <w:i/>
          <w:color w:val="FF0000"/>
          <w:sz w:val="22"/>
          <w:szCs w:val="22"/>
        </w:rPr>
        <w:t>Sujets contacts d’un cas d’IIM de sérogroupes A, C, Y, ou W, dans les conditions prévues par l’instruction relative à la prophylaxie des infections invasives à méningocoques.</w:t>
      </w:r>
    </w:p>
    <w:p w14:paraId="6ABA485D" w14:textId="333480EB" w:rsidR="009D11D7" w:rsidRPr="009D11D7" w:rsidRDefault="009D11D7" w:rsidP="009D11D7">
      <w:pPr>
        <w:rPr>
          <w:rFonts w:ascii="Calibri" w:hAnsi="Calibri" w:cs="Calibri"/>
          <w:b/>
        </w:rPr>
      </w:pPr>
    </w:p>
    <w:p w14:paraId="53282396" w14:textId="0A9C8A18" w:rsidR="00431B6F" w:rsidRPr="008D19E5" w:rsidRDefault="00431B6F" w:rsidP="008D19E5">
      <w:pPr>
        <w:pStyle w:val="Paragraphedeliste"/>
        <w:numPr>
          <w:ilvl w:val="0"/>
          <w:numId w:val="5"/>
        </w:numPr>
        <w:jc w:val="both"/>
        <w:rPr>
          <w:rFonts w:ascii="Calibri" w:hAnsi="Calibri" w:cs="Calibri"/>
        </w:rPr>
      </w:pPr>
      <w:r w:rsidRPr="008D19E5">
        <w:rPr>
          <w:rFonts w:ascii="Calibri" w:hAnsi="Calibri" w:cs="Calibri"/>
          <w:color w:val="1F497D"/>
          <w:sz w:val="22"/>
          <w:szCs w:val="22"/>
          <w:lang w:eastAsia="en-US"/>
        </w:rPr>
        <w:t>Vaccina</w:t>
      </w:r>
      <w:r w:rsidR="00324886" w:rsidRPr="008D19E5">
        <w:rPr>
          <w:rFonts w:ascii="Calibri" w:hAnsi="Calibri" w:cs="Calibri"/>
          <w:color w:val="1F497D"/>
          <w:sz w:val="22"/>
          <w:szCs w:val="22"/>
          <w:lang w:eastAsia="en-US"/>
        </w:rPr>
        <w:t>tion</w:t>
      </w:r>
      <w:r w:rsidRPr="008D19E5">
        <w:rPr>
          <w:rFonts w:ascii="Calibri" w:hAnsi="Calibri" w:cs="Calibri"/>
          <w:color w:val="1F497D"/>
          <w:sz w:val="22"/>
          <w:szCs w:val="22"/>
          <w:lang w:eastAsia="en-US"/>
        </w:rPr>
        <w:t xml:space="preserve"> obligatoire chez le nourrisson </w:t>
      </w:r>
      <w:r w:rsidR="00ED2305">
        <w:rPr>
          <w:rFonts w:ascii="Calibri" w:hAnsi="Calibri" w:cs="Calibri"/>
          <w:color w:val="1F497D"/>
          <w:sz w:val="22"/>
          <w:szCs w:val="22"/>
          <w:lang w:eastAsia="en-US"/>
        </w:rPr>
        <w:t xml:space="preserve">entre 0 et 24 mois </w:t>
      </w:r>
      <w:r w:rsidRPr="008D19E5">
        <w:rPr>
          <w:rFonts w:ascii="Calibri" w:hAnsi="Calibri" w:cs="Calibri"/>
          <w:color w:val="1F497D"/>
          <w:sz w:val="22"/>
          <w:szCs w:val="22"/>
          <w:lang w:eastAsia="en-US"/>
        </w:rPr>
        <w:t>depuis le 01/01/2025</w:t>
      </w:r>
      <w:r w:rsidR="00161579" w:rsidRPr="008D19E5">
        <w:rPr>
          <w:rFonts w:ascii="Calibri" w:hAnsi="Calibri" w:cs="Calibri"/>
          <w:color w:val="1F497D"/>
          <w:sz w:val="22"/>
          <w:szCs w:val="22"/>
          <w:lang w:eastAsia="en-US"/>
        </w:rPr>
        <w:t xml:space="preserve"> : </w:t>
      </w:r>
      <w:hyperlink r:id="rId6" w:history="1">
        <w:r w:rsidR="00161579" w:rsidRPr="008D19E5">
          <w:rPr>
            <w:rStyle w:val="Lienhypertexte"/>
            <w:rFonts w:ascii="Calibri" w:hAnsi="Calibri" w:cs="Calibri"/>
            <w:sz w:val="22"/>
            <w:szCs w:val="22"/>
            <w:lang w:eastAsia="en-US"/>
          </w:rPr>
          <w:t>décret n°2024-394 du 5 juillet 2024</w:t>
        </w:r>
      </w:hyperlink>
    </w:p>
    <w:p w14:paraId="45EA1718" w14:textId="1FA438AA" w:rsidR="001B23BF" w:rsidRPr="00A327F7" w:rsidRDefault="001B23BF" w:rsidP="008D19E5">
      <w:pPr>
        <w:pStyle w:val="Paragraphedeliste"/>
        <w:numPr>
          <w:ilvl w:val="0"/>
          <w:numId w:val="5"/>
        </w:numPr>
        <w:jc w:val="both"/>
        <w:rPr>
          <w:rFonts w:ascii="Calibri" w:hAnsi="Calibri" w:cs="Calibri"/>
          <w:i/>
          <w:color w:val="1F497D" w:themeColor="text2"/>
          <w:sz w:val="22"/>
          <w:szCs w:val="22"/>
        </w:rPr>
      </w:pPr>
      <w:hyperlink r:id="rId7" w:history="1">
        <w:r w:rsidRPr="00161579">
          <w:rPr>
            <w:rStyle w:val="Lienhypertexte"/>
            <w:rFonts w:ascii="Calibri" w:hAnsi="Calibri" w:cs="Calibri"/>
            <w:sz w:val="22"/>
            <w:szCs w:val="22"/>
          </w:rPr>
          <w:t>Reco HAS du 7 mars 2024 </w:t>
        </w:r>
      </w:hyperlink>
      <w:r w:rsidRPr="00A327F7">
        <w:rPr>
          <w:rFonts w:ascii="Calibri" w:hAnsi="Calibri" w:cs="Calibri"/>
          <w:color w:val="1F497D" w:themeColor="text2"/>
          <w:sz w:val="22"/>
          <w:szCs w:val="22"/>
        </w:rPr>
        <w:t xml:space="preserve">: </w:t>
      </w:r>
      <w:r w:rsidRPr="00A327F7">
        <w:rPr>
          <w:rFonts w:ascii="Calibri" w:eastAsia="Times New Roman" w:hAnsi="Calibri" w:cs="Calibri"/>
          <w:i/>
          <w:color w:val="1F497D" w:themeColor="text2"/>
          <w:sz w:val="22"/>
          <w:szCs w:val="22"/>
        </w:rPr>
        <w:t>« La HAS recommande de rendre obligatoire la vaccination tétravalente chez tous les nourrissons, en remplacement de la vaccination méningococcique dirigée contre le sérogroupe C, selon le schéma vaccinal à deux doses ci-après : une dose unique de primovaccination à l’âge de 6 mois suivie d’une dose de rappel à l’âge de 12 mois,</w:t>
      </w:r>
      <w:r w:rsidR="00993D70">
        <w:rPr>
          <w:rFonts w:ascii="Calibri" w:eastAsia="Times New Roman" w:hAnsi="Calibri" w:cs="Calibri"/>
          <w:i/>
          <w:color w:val="1F497D" w:themeColor="text2"/>
          <w:sz w:val="22"/>
          <w:szCs w:val="22"/>
        </w:rPr>
        <w:t xml:space="preserve"> ne</w:t>
      </w:r>
      <w:r w:rsidRPr="00A327F7">
        <w:rPr>
          <w:rFonts w:ascii="Calibri" w:eastAsia="Times New Roman" w:hAnsi="Calibri" w:cs="Calibri"/>
          <w:i/>
          <w:color w:val="1F497D" w:themeColor="text2"/>
          <w:sz w:val="22"/>
          <w:szCs w:val="22"/>
        </w:rPr>
        <w:t xml:space="preserve"> recommande </w:t>
      </w:r>
      <w:r w:rsidRPr="00ED2305">
        <w:rPr>
          <w:rFonts w:ascii="Calibri" w:eastAsia="Times New Roman" w:hAnsi="Calibri" w:cs="Calibri"/>
          <w:i/>
          <w:color w:val="1F497D" w:themeColor="text2"/>
          <w:sz w:val="22"/>
          <w:szCs w:val="22"/>
        </w:rPr>
        <w:t>pas</w:t>
      </w:r>
      <w:r w:rsidRPr="00A327F7">
        <w:rPr>
          <w:rFonts w:ascii="Calibri" w:eastAsia="Times New Roman" w:hAnsi="Calibri" w:cs="Calibri"/>
          <w:i/>
          <w:color w:val="1F497D" w:themeColor="text2"/>
          <w:sz w:val="22"/>
          <w:szCs w:val="22"/>
        </w:rPr>
        <w:t xml:space="preserve"> la mise en place d’un rattrapage de la vaccination ACWY chez les enfants de plus d’un an, recommande la vaccination tétravalente chez tous les adolescents selon un schéma à une dose administrée entre 11 et 14 ans, indépendamm</w:t>
      </w:r>
      <w:r>
        <w:rPr>
          <w:rFonts w:ascii="Calibri" w:eastAsia="Times New Roman" w:hAnsi="Calibri" w:cs="Calibri"/>
          <w:i/>
          <w:color w:val="1F497D" w:themeColor="text2"/>
          <w:sz w:val="22"/>
          <w:szCs w:val="22"/>
        </w:rPr>
        <w:t xml:space="preserve">ent de leur statut vaccinal et </w:t>
      </w:r>
      <w:r w:rsidRPr="00A327F7">
        <w:rPr>
          <w:rFonts w:ascii="Calibri" w:eastAsia="Times New Roman" w:hAnsi="Calibri" w:cs="Calibri"/>
          <w:i/>
          <w:color w:val="1F497D" w:themeColor="text2"/>
          <w:sz w:val="22"/>
          <w:szCs w:val="22"/>
        </w:rPr>
        <w:t>recommande la mise en place à l’échelle nationale d’un rattrapage vaccinal chez les 15-24 ans. »</w:t>
      </w:r>
    </w:p>
    <w:p w14:paraId="4084D93F" w14:textId="77777777" w:rsidR="001B23BF" w:rsidRPr="00A327F7" w:rsidRDefault="001B23BF" w:rsidP="008D19E5">
      <w:pPr>
        <w:pStyle w:val="Paragraphedeliste"/>
        <w:numPr>
          <w:ilvl w:val="0"/>
          <w:numId w:val="5"/>
        </w:numPr>
        <w:jc w:val="both"/>
        <w:rPr>
          <w:rFonts w:ascii="Calibri" w:hAnsi="Calibri" w:cs="Calibri"/>
          <w:i/>
          <w:color w:val="1F497D" w:themeColor="text2"/>
          <w:sz w:val="22"/>
          <w:szCs w:val="22"/>
        </w:rPr>
      </w:pPr>
      <w:hyperlink r:id="rId8" w:history="1">
        <w:r w:rsidRPr="00161579">
          <w:rPr>
            <w:rStyle w:val="Lienhypertexte"/>
            <w:rFonts w:ascii="Calibri" w:hAnsi="Calibri" w:cs="Calibri"/>
            <w:sz w:val="22"/>
            <w:szCs w:val="22"/>
          </w:rPr>
          <w:t>Reco HAS du 27 juin 2024</w:t>
        </w:r>
      </w:hyperlink>
      <w:r w:rsidRPr="00A327F7">
        <w:rPr>
          <w:rFonts w:ascii="Calibri" w:hAnsi="Calibri" w:cs="Calibri"/>
          <w:color w:val="1F497D" w:themeColor="text2"/>
          <w:sz w:val="22"/>
          <w:szCs w:val="22"/>
        </w:rPr>
        <w:t xml:space="preserve"> (interchangeabilité </w:t>
      </w:r>
      <w:r>
        <w:rPr>
          <w:rFonts w:ascii="Calibri" w:hAnsi="Calibri" w:cs="Calibri"/>
          <w:color w:val="1F497D" w:themeColor="text2"/>
          <w:sz w:val="22"/>
          <w:szCs w:val="22"/>
        </w:rPr>
        <w:t>NIMENRIX®/MENQUADFI®</w:t>
      </w:r>
      <w:r w:rsidRPr="00A327F7">
        <w:rPr>
          <w:rFonts w:ascii="Calibri" w:hAnsi="Calibri" w:cs="Calibri"/>
          <w:color w:val="1F497D" w:themeColor="text2"/>
          <w:sz w:val="22"/>
          <w:szCs w:val="22"/>
        </w:rPr>
        <w:t>)</w:t>
      </w:r>
      <w:r w:rsidR="00161579">
        <w:rPr>
          <w:rFonts w:ascii="Calibri" w:hAnsi="Calibri" w:cs="Calibri"/>
          <w:color w:val="1F497D" w:themeColor="text2"/>
          <w:sz w:val="22"/>
          <w:szCs w:val="22"/>
        </w:rPr>
        <w:t xml:space="preserve"> : </w:t>
      </w:r>
      <w:r w:rsidRPr="00A327F7">
        <w:rPr>
          <w:rFonts w:ascii="Calibri" w:hAnsi="Calibri" w:cs="Calibri"/>
          <w:i/>
          <w:color w:val="1F497D" w:themeColor="text2"/>
          <w:sz w:val="22"/>
          <w:szCs w:val="22"/>
        </w:rPr>
        <w:t>« Au terme de son évaluation, la HAS recommande que le vaccin Menquadfi puisse être utilisé, au même titre que le vaccin Nimenrix, pour l'administration de la dose de rappel à l'âge de 12 mois chez les nourrissons primovaccinés avec le vaccin Nimenrix avant 12 mois. »</w:t>
      </w:r>
    </w:p>
    <w:p w14:paraId="438F2472" w14:textId="282CEDCA" w:rsidR="00431B6F" w:rsidRPr="009D11D7" w:rsidRDefault="00431B6F" w:rsidP="008D19E5">
      <w:pPr>
        <w:pStyle w:val="Paragraphedeliste"/>
        <w:numPr>
          <w:ilvl w:val="0"/>
          <w:numId w:val="5"/>
        </w:numPr>
        <w:jc w:val="both"/>
        <w:rPr>
          <w:rFonts w:ascii="Calibri" w:hAnsi="Calibri" w:cs="Calibri"/>
          <w:b/>
          <w:color w:val="1F497D"/>
          <w:sz w:val="22"/>
          <w:szCs w:val="22"/>
          <w:lang w:eastAsia="en-US"/>
        </w:rPr>
      </w:pPr>
      <w:hyperlink r:id="rId9" w:history="1">
        <w:r w:rsidRPr="00161579">
          <w:rPr>
            <w:rStyle w:val="Lienhypertexte"/>
            <w:rFonts w:ascii="Calibri" w:hAnsi="Calibri" w:cs="Calibri"/>
            <w:sz w:val="22"/>
            <w:szCs w:val="22"/>
            <w:lang w:eastAsia="en-US"/>
          </w:rPr>
          <w:t xml:space="preserve">Recommandation </w:t>
        </w:r>
        <w:r w:rsidRPr="00161579">
          <w:rPr>
            <w:rStyle w:val="Lienhypertexte"/>
            <w:rFonts w:ascii="Calibri" w:hAnsi="Calibri" w:cs="Calibri"/>
            <w:b/>
            <w:sz w:val="22"/>
            <w:szCs w:val="22"/>
            <w:lang w:eastAsia="en-US"/>
          </w:rPr>
          <w:t>transitoire</w:t>
        </w:r>
        <w:r w:rsidRPr="00161579">
          <w:rPr>
            <w:rStyle w:val="Lienhypertexte"/>
            <w:rFonts w:ascii="Calibri" w:hAnsi="Calibri" w:cs="Calibri"/>
            <w:sz w:val="22"/>
            <w:szCs w:val="22"/>
            <w:lang w:eastAsia="en-US"/>
          </w:rPr>
          <w:t xml:space="preserve"> de la HAS</w:t>
        </w:r>
        <w:r w:rsidR="00161579" w:rsidRPr="00161579">
          <w:rPr>
            <w:rStyle w:val="Lienhypertexte"/>
            <w:rFonts w:ascii="Calibri" w:hAnsi="Calibri" w:cs="Calibri"/>
            <w:sz w:val="22"/>
            <w:szCs w:val="22"/>
            <w:lang w:eastAsia="en-US"/>
          </w:rPr>
          <w:t xml:space="preserve"> du 18 mars 2025</w:t>
        </w:r>
        <w:r w:rsidRPr="00161579">
          <w:rPr>
            <w:rStyle w:val="Lienhypertexte"/>
            <w:rFonts w:ascii="Calibri" w:hAnsi="Calibri" w:cs="Calibri"/>
            <w:b/>
            <w:sz w:val="22"/>
            <w:szCs w:val="22"/>
            <w:lang w:eastAsia="en-US"/>
          </w:rPr>
          <w:t> </w:t>
        </w:r>
      </w:hyperlink>
      <w:r>
        <w:rPr>
          <w:rFonts w:ascii="Calibri" w:hAnsi="Calibri" w:cs="Calibri"/>
          <w:b/>
          <w:color w:val="1F497D"/>
          <w:sz w:val="22"/>
          <w:szCs w:val="22"/>
          <w:lang w:eastAsia="en-US"/>
        </w:rPr>
        <w:t>:</w:t>
      </w:r>
      <w:r w:rsidRPr="004A6AF1">
        <w:rPr>
          <w:rFonts w:ascii="Calibri" w:hAnsi="Calibri" w:cs="Calibri"/>
          <w:b/>
          <w:color w:val="1F497D"/>
          <w:sz w:val="22"/>
          <w:szCs w:val="22"/>
          <w:lang w:eastAsia="en-US"/>
        </w:rPr>
        <w:t xml:space="preserve"> </w:t>
      </w:r>
      <w:r w:rsidRPr="004A6AF1">
        <w:rPr>
          <w:rFonts w:ascii="Calibri" w:hAnsi="Calibri" w:cs="Calibri"/>
          <w:color w:val="1F497D"/>
          <w:sz w:val="22"/>
          <w:szCs w:val="22"/>
          <w:lang w:eastAsia="en-US"/>
        </w:rPr>
        <w:t>mise en place d’un rattrapage, ciblant les enfants jusqu'à 3 ans (avant leur 3ème anniversaire). Cette mesure transitoire concerne les enfants n’ayant jamais été vaccinés contre les sérogroupes ACWY, y compris les enfants ayant reçu deux doses de vaccin contre le sérogroupe C.</w:t>
      </w:r>
    </w:p>
    <w:p w14:paraId="5EAB2D22" w14:textId="271B0CDD" w:rsidR="00ED2305" w:rsidRPr="004A6AF1" w:rsidRDefault="00ED2305" w:rsidP="008D19E5">
      <w:pPr>
        <w:pStyle w:val="Paragraphedeliste"/>
        <w:numPr>
          <w:ilvl w:val="0"/>
          <w:numId w:val="5"/>
        </w:numPr>
        <w:jc w:val="both"/>
        <w:rPr>
          <w:rFonts w:ascii="Calibri" w:hAnsi="Calibri" w:cs="Calibri"/>
          <w:b/>
          <w:color w:val="1F497D"/>
          <w:sz w:val="22"/>
          <w:szCs w:val="22"/>
          <w:lang w:eastAsia="en-US"/>
        </w:rPr>
      </w:pPr>
      <w:hyperlink r:id="rId10" w:history="1">
        <w:r w:rsidRPr="00ED2305">
          <w:rPr>
            <w:rStyle w:val="Lienhypertexte"/>
            <w:rFonts w:ascii="Calibri" w:hAnsi="Calibri" w:cs="Calibri"/>
            <w:sz w:val="22"/>
            <w:szCs w:val="22"/>
            <w:lang w:eastAsia="en-US"/>
          </w:rPr>
          <w:t>FAQ ministère</w:t>
        </w:r>
      </w:hyperlink>
    </w:p>
    <w:p w14:paraId="65760C18" w14:textId="77777777" w:rsidR="00431B6F" w:rsidRDefault="00431B6F" w:rsidP="00431B6F">
      <w:pPr>
        <w:pStyle w:val="Paragraphedeliste"/>
        <w:ind w:left="360"/>
        <w:rPr>
          <w:rFonts w:ascii="Calibri" w:hAnsi="Calibri" w:cs="Calibri"/>
        </w:rPr>
      </w:pPr>
    </w:p>
    <w:p w14:paraId="7CBAD705" w14:textId="77777777" w:rsidR="00431B6F" w:rsidRPr="00235FB0" w:rsidRDefault="00BD25E9" w:rsidP="00BD25E9">
      <w:pPr>
        <w:rPr>
          <w:rFonts w:ascii="Calibri" w:hAnsi="Calibri" w:cs="Calibri"/>
          <w:u w:val="single"/>
        </w:rPr>
      </w:pPr>
      <w:r w:rsidRPr="00235FB0">
        <w:rPr>
          <w:rFonts w:ascii="Calibri" w:hAnsi="Calibri" w:cs="Calibri"/>
          <w:b/>
          <w:color w:val="1F497D"/>
          <w:sz w:val="22"/>
          <w:szCs w:val="22"/>
          <w:u w:val="single"/>
          <w:lang w:eastAsia="en-US"/>
        </w:rPr>
        <w:t>NIMENRIX®</w:t>
      </w:r>
    </w:p>
    <w:p w14:paraId="26D7E702" w14:textId="77777777" w:rsidR="00431B6F" w:rsidRDefault="00431B6F" w:rsidP="00431B6F">
      <w:pPr>
        <w:pStyle w:val="Paragraphedeliste"/>
        <w:ind w:left="1080"/>
        <w:rPr>
          <w:rFonts w:ascii="Calibri" w:hAnsi="Calibri" w:cs="Calibri"/>
        </w:rPr>
      </w:pPr>
    </w:p>
    <w:p w14:paraId="43C60BDF" w14:textId="28A55068" w:rsidR="00431B6F" w:rsidRPr="004A6AF1" w:rsidRDefault="00411CEF" w:rsidP="008D19E5">
      <w:pPr>
        <w:pStyle w:val="Paragraphedeliste"/>
        <w:jc w:val="both"/>
        <w:rPr>
          <w:rFonts w:ascii="Calibri" w:hAnsi="Calibri"/>
          <w:color w:val="1F497D"/>
          <w:sz w:val="22"/>
          <w:szCs w:val="22"/>
          <w:lang w:eastAsia="en-US"/>
        </w:rPr>
      </w:pPr>
      <w:hyperlink r:id="rId11" w:history="1">
        <w:r w:rsidRPr="00B23D08">
          <w:rPr>
            <w:rStyle w:val="Lienhypertexte"/>
            <w:rFonts w:ascii="Calibri" w:hAnsi="Calibri"/>
            <w:sz w:val="22"/>
            <w:szCs w:val="22"/>
            <w:lang w:eastAsia="en-US"/>
          </w:rPr>
          <w:t>Arrêté du 1er mars 2022</w:t>
        </w:r>
      </w:hyperlink>
      <w:r w:rsidRPr="00B23D08">
        <w:rPr>
          <w:rFonts w:ascii="Calibri" w:hAnsi="Calibri"/>
          <w:color w:val="1F497D"/>
          <w:sz w:val="22"/>
          <w:szCs w:val="22"/>
          <w:lang w:eastAsia="en-US"/>
        </w:rPr>
        <w:t xml:space="preserve"> et</w:t>
      </w:r>
      <w:r>
        <w:t xml:space="preserve"> </w:t>
      </w:r>
      <w:hyperlink r:id="rId12" w:history="1">
        <w:r w:rsidR="00BD25E9" w:rsidRPr="00BD25E9">
          <w:rPr>
            <w:rStyle w:val="Lienhypertexte"/>
            <w:rFonts w:ascii="Calibri" w:hAnsi="Calibri"/>
            <w:sz w:val="22"/>
            <w:szCs w:val="22"/>
            <w:lang w:eastAsia="en-US"/>
          </w:rPr>
          <w:t>Arrêté du 21 novembre 2024 </w:t>
        </w:r>
      </w:hyperlink>
      <w:r w:rsidR="00BD25E9">
        <w:rPr>
          <w:rFonts w:ascii="Calibri" w:hAnsi="Calibri"/>
          <w:color w:val="1F497D"/>
          <w:sz w:val="22"/>
          <w:szCs w:val="22"/>
          <w:lang w:eastAsia="en-US"/>
        </w:rPr>
        <w:t>:</w:t>
      </w:r>
      <w:r w:rsidR="00431B6F">
        <w:rPr>
          <w:rFonts w:ascii="Calibri" w:hAnsi="Calibri"/>
          <w:color w:val="1F497D"/>
          <w:sz w:val="22"/>
          <w:szCs w:val="22"/>
          <w:lang w:eastAsia="en-US"/>
        </w:rPr>
        <w:t xml:space="preserve"> prise en charge dans l’immunisation active des sujets à partir de l'âge de 6 semaines contre les maladies </w:t>
      </w:r>
      <w:r w:rsidR="008D19E5">
        <w:rPr>
          <w:rFonts w:ascii="Calibri" w:hAnsi="Calibri"/>
          <w:color w:val="1F497D"/>
          <w:sz w:val="22"/>
          <w:szCs w:val="22"/>
          <w:lang w:eastAsia="en-US"/>
        </w:rPr>
        <w:t>méningococcies</w:t>
      </w:r>
      <w:r w:rsidR="00431B6F">
        <w:rPr>
          <w:rFonts w:ascii="Calibri" w:hAnsi="Calibri"/>
          <w:color w:val="1F497D"/>
          <w:sz w:val="22"/>
          <w:szCs w:val="22"/>
          <w:lang w:eastAsia="en-US"/>
        </w:rPr>
        <w:t xml:space="preserve"> invasives dues aux Neisseria meningitidis des groupes A, C, W-135 et Y, selon les recommandations en vigueur de la HAS datant du </w:t>
      </w:r>
      <w:hyperlink r:id="rId13" w:history="1">
        <w:r w:rsidR="00B23D08" w:rsidRPr="00B23D08">
          <w:rPr>
            <w:rStyle w:val="Lienhypertexte"/>
            <w:rFonts w:ascii="Calibri" w:hAnsi="Calibri"/>
            <w:sz w:val="22"/>
            <w:szCs w:val="22"/>
            <w:lang w:eastAsia="en-US"/>
          </w:rPr>
          <w:t>11 mars 2021</w:t>
        </w:r>
      </w:hyperlink>
      <w:r w:rsidR="00B23D08">
        <w:rPr>
          <w:rFonts w:ascii="Calibri" w:hAnsi="Calibri"/>
          <w:color w:val="1F497D"/>
          <w:sz w:val="22"/>
          <w:szCs w:val="22"/>
          <w:lang w:eastAsia="en-US"/>
        </w:rPr>
        <w:t xml:space="preserve">, du </w:t>
      </w:r>
      <w:hyperlink r:id="rId14" w:history="1">
        <w:r w:rsidR="00431B6F" w:rsidRPr="008D19E5">
          <w:rPr>
            <w:rStyle w:val="Lienhypertexte"/>
            <w:rFonts w:ascii="Calibri" w:hAnsi="Calibri"/>
            <w:sz w:val="22"/>
            <w:szCs w:val="22"/>
            <w:lang w:eastAsia="en-US"/>
          </w:rPr>
          <w:t>7 mars 2024</w:t>
        </w:r>
      </w:hyperlink>
      <w:r w:rsidR="00431B6F">
        <w:rPr>
          <w:rFonts w:ascii="Calibri" w:hAnsi="Calibri"/>
          <w:color w:val="1F497D"/>
          <w:sz w:val="22"/>
          <w:szCs w:val="22"/>
          <w:lang w:eastAsia="en-US"/>
        </w:rPr>
        <w:t xml:space="preserve"> et du </w:t>
      </w:r>
      <w:hyperlink r:id="rId15" w:history="1">
        <w:r w:rsidR="00431B6F" w:rsidRPr="008D19E5">
          <w:rPr>
            <w:rStyle w:val="Lienhypertexte"/>
            <w:rFonts w:ascii="Calibri" w:hAnsi="Calibri"/>
            <w:sz w:val="22"/>
            <w:szCs w:val="22"/>
            <w:lang w:eastAsia="en-US"/>
          </w:rPr>
          <w:t>27 juin 2024</w:t>
        </w:r>
      </w:hyperlink>
      <w:r w:rsidR="00431B6F">
        <w:rPr>
          <w:rFonts w:ascii="Calibri" w:hAnsi="Calibri"/>
          <w:color w:val="1F497D"/>
          <w:sz w:val="22"/>
          <w:szCs w:val="22"/>
          <w:lang w:eastAsia="en-US"/>
        </w:rPr>
        <w:t>.</w:t>
      </w:r>
    </w:p>
    <w:p w14:paraId="1FC2432E" w14:textId="70C74848" w:rsidR="00431B6F" w:rsidRPr="00186F6C"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cs="Calibri"/>
          <w:b/>
          <w:color w:val="1F497D"/>
          <w:sz w:val="22"/>
          <w:szCs w:val="22"/>
          <w:lang w:eastAsia="en-US"/>
        </w:rPr>
        <w:t>PEC chez tous les nourrissons à 6 et 12 mois et rattrapage vaccinal entre 12 et 24 mois</w:t>
      </w:r>
      <w:r w:rsidR="00ED2305">
        <w:rPr>
          <w:rFonts w:ascii="Calibri" w:hAnsi="Calibri" w:cs="Calibri"/>
          <w:b/>
          <w:color w:val="1F497D"/>
          <w:sz w:val="22"/>
          <w:szCs w:val="22"/>
          <w:lang w:eastAsia="en-US"/>
        </w:rPr>
        <w:t xml:space="preserve"> (</w:t>
      </w:r>
      <w:hyperlink r:id="rId16" w:history="1">
        <w:r w:rsidR="00ED2305" w:rsidRPr="00ED2305">
          <w:rPr>
            <w:rStyle w:val="Lienhypertexte"/>
            <w:rFonts w:ascii="Calibri" w:hAnsi="Calibri" w:cs="Calibri"/>
            <w:b/>
            <w:sz w:val="22"/>
            <w:szCs w:val="22"/>
            <w:lang w:eastAsia="en-US"/>
          </w:rPr>
          <w:t>FAQ Ministère</w:t>
        </w:r>
      </w:hyperlink>
      <w:r w:rsidR="00ED2305">
        <w:rPr>
          <w:rFonts w:ascii="Calibri" w:hAnsi="Calibri" w:cs="Calibri"/>
          <w:b/>
          <w:color w:val="1F497D"/>
          <w:sz w:val="22"/>
          <w:szCs w:val="22"/>
          <w:lang w:eastAsia="en-US"/>
        </w:rPr>
        <w:t>)</w:t>
      </w:r>
    </w:p>
    <w:p w14:paraId="7A97F507" w14:textId="77777777" w:rsidR="00431B6F" w:rsidRPr="00186F6C"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cs="Calibri"/>
          <w:b/>
          <w:color w:val="1F497D"/>
          <w:sz w:val="22"/>
          <w:szCs w:val="22"/>
          <w:lang w:eastAsia="en-US"/>
        </w:rPr>
        <w:t>PEC chez tous les adolescents de 11 à 14 ans</w:t>
      </w:r>
    </w:p>
    <w:p w14:paraId="32A00C06" w14:textId="690A72BB" w:rsidR="00431B6F"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cs="Calibri"/>
          <w:b/>
          <w:color w:val="1F497D"/>
          <w:sz w:val="22"/>
          <w:szCs w:val="22"/>
          <w:lang w:eastAsia="en-US"/>
        </w:rPr>
        <w:t>PEC en rattrapage vaccinal chez les 15-24 ans</w:t>
      </w:r>
    </w:p>
    <w:p w14:paraId="50E05EAD" w14:textId="4DA7217F" w:rsidR="00B23D08" w:rsidRPr="00186F6C" w:rsidRDefault="00B23D08" w:rsidP="00431B6F">
      <w:pPr>
        <w:pStyle w:val="Paragraphedeliste"/>
        <w:numPr>
          <w:ilvl w:val="0"/>
          <w:numId w:val="2"/>
        </w:numPr>
        <w:ind w:left="708"/>
        <w:rPr>
          <w:rFonts w:ascii="Calibri" w:hAnsi="Calibri" w:cs="Calibri"/>
          <w:b/>
          <w:color w:val="1F497D"/>
          <w:sz w:val="22"/>
          <w:szCs w:val="22"/>
          <w:lang w:eastAsia="en-US"/>
        </w:rPr>
      </w:pPr>
      <w:r>
        <w:rPr>
          <w:rFonts w:ascii="Calibri" w:hAnsi="Calibri" w:cs="Calibri"/>
          <w:b/>
          <w:color w:val="1F497D"/>
          <w:sz w:val="22"/>
          <w:szCs w:val="22"/>
          <w:lang w:eastAsia="en-US"/>
        </w:rPr>
        <w:t xml:space="preserve">PEC </w:t>
      </w:r>
      <w:r w:rsidRPr="00B23D08">
        <w:rPr>
          <w:rFonts w:ascii="Calibri" w:hAnsi="Calibri" w:cs="Calibri"/>
          <w:b/>
          <w:color w:val="1F497D"/>
          <w:sz w:val="22"/>
          <w:szCs w:val="22"/>
          <w:lang w:eastAsia="en-US"/>
        </w:rPr>
        <w:t xml:space="preserve">dans les populations </w:t>
      </w:r>
      <w:r w:rsidR="00ED2305">
        <w:rPr>
          <w:rFonts w:ascii="Calibri" w:hAnsi="Calibri" w:cs="Calibri"/>
          <w:b/>
          <w:color w:val="1F497D"/>
          <w:sz w:val="22"/>
          <w:szCs w:val="22"/>
          <w:lang w:eastAsia="en-US"/>
        </w:rPr>
        <w:t xml:space="preserve">spécifiques </w:t>
      </w:r>
      <w:r w:rsidRPr="00B23D08">
        <w:rPr>
          <w:rFonts w:ascii="Calibri" w:hAnsi="Calibri" w:cs="Calibri"/>
          <w:b/>
          <w:color w:val="1F497D"/>
          <w:sz w:val="22"/>
          <w:szCs w:val="22"/>
          <w:lang w:eastAsia="en-US"/>
        </w:rPr>
        <w:t xml:space="preserve">recommandées par la HAS le </w:t>
      </w:r>
      <w:hyperlink r:id="rId17" w:history="1">
        <w:r w:rsidRPr="00B23D08">
          <w:rPr>
            <w:rStyle w:val="Lienhypertexte"/>
            <w:rFonts w:ascii="Calibri" w:hAnsi="Calibri" w:cs="Calibri"/>
            <w:b/>
            <w:sz w:val="22"/>
            <w:szCs w:val="22"/>
            <w:lang w:eastAsia="en-US"/>
          </w:rPr>
          <w:t>11 mars 2021</w:t>
        </w:r>
      </w:hyperlink>
      <w:r w:rsidR="00DF3CC8">
        <w:rPr>
          <w:rStyle w:val="Lienhypertexte"/>
          <w:rFonts w:ascii="Calibri" w:hAnsi="Calibri" w:cs="Calibri"/>
          <w:b/>
          <w:sz w:val="22"/>
          <w:szCs w:val="22"/>
          <w:lang w:eastAsia="en-US"/>
        </w:rPr>
        <w:t xml:space="preserve"> (voir ci-dessous)</w:t>
      </w:r>
    </w:p>
    <w:p w14:paraId="40FA0D09" w14:textId="77777777" w:rsidR="00431B6F" w:rsidRDefault="00431B6F" w:rsidP="00431B6F">
      <w:pPr>
        <w:pStyle w:val="Paragraphedeliste"/>
        <w:ind w:left="708"/>
      </w:pPr>
    </w:p>
    <w:p w14:paraId="53D2D75A" w14:textId="77777777" w:rsidR="00431B6F" w:rsidRPr="00235FB0" w:rsidRDefault="008D19E5" w:rsidP="008D19E5">
      <w:pPr>
        <w:rPr>
          <w:b/>
          <w:u w:val="single"/>
        </w:rPr>
      </w:pPr>
      <w:r w:rsidRPr="00235FB0">
        <w:rPr>
          <w:rFonts w:ascii="Calibri" w:hAnsi="Calibri"/>
          <w:b/>
          <w:color w:val="1F497D"/>
          <w:sz w:val="22"/>
          <w:szCs w:val="22"/>
          <w:u w:val="single"/>
          <w:lang w:eastAsia="en-US"/>
        </w:rPr>
        <w:lastRenderedPageBreak/>
        <w:t>MENQUADFI®</w:t>
      </w:r>
    </w:p>
    <w:p w14:paraId="5A9C83AA" w14:textId="77777777" w:rsidR="00431B6F" w:rsidRPr="00A327F7" w:rsidRDefault="00431B6F" w:rsidP="00431B6F">
      <w:pPr>
        <w:ind w:left="720"/>
        <w:rPr>
          <w:b/>
        </w:rPr>
      </w:pPr>
    </w:p>
    <w:p w14:paraId="41740725" w14:textId="33BF6286" w:rsidR="00431B6F" w:rsidRDefault="006D60AE" w:rsidP="008D19E5">
      <w:pPr>
        <w:pStyle w:val="Paragraphedeliste"/>
        <w:jc w:val="both"/>
        <w:rPr>
          <w:rFonts w:ascii="Calibri" w:hAnsi="Calibri"/>
          <w:color w:val="1F497D"/>
          <w:sz w:val="22"/>
          <w:szCs w:val="22"/>
          <w:lang w:eastAsia="en-US"/>
        </w:rPr>
      </w:pPr>
      <w:hyperlink r:id="rId18" w:history="1">
        <w:r w:rsidRPr="006D60AE">
          <w:rPr>
            <w:rStyle w:val="Lienhypertexte"/>
            <w:rFonts w:ascii="Calibri" w:hAnsi="Calibri"/>
            <w:sz w:val="22"/>
            <w:szCs w:val="22"/>
            <w:lang w:eastAsia="en-US"/>
          </w:rPr>
          <w:t>Arrêté du 26 juillet 2022</w:t>
        </w:r>
      </w:hyperlink>
      <w:r>
        <w:t xml:space="preserve"> et </w:t>
      </w:r>
      <w:hyperlink r:id="rId19" w:history="1">
        <w:r w:rsidR="008D19E5" w:rsidRPr="008D19E5">
          <w:rPr>
            <w:rStyle w:val="Lienhypertexte"/>
            <w:rFonts w:ascii="Calibri" w:hAnsi="Calibri"/>
            <w:sz w:val="22"/>
            <w:szCs w:val="22"/>
            <w:lang w:eastAsia="en-US"/>
          </w:rPr>
          <w:t>Arrêté du 21 novembre 2024 </w:t>
        </w:r>
      </w:hyperlink>
      <w:r w:rsidR="008D19E5">
        <w:rPr>
          <w:rFonts w:ascii="Calibri" w:hAnsi="Calibri"/>
          <w:color w:val="1F497D"/>
          <w:sz w:val="22"/>
          <w:szCs w:val="22"/>
          <w:lang w:eastAsia="en-US"/>
        </w:rPr>
        <w:t xml:space="preserve">: </w:t>
      </w:r>
      <w:r w:rsidR="00431B6F">
        <w:rPr>
          <w:rFonts w:ascii="Calibri" w:hAnsi="Calibri"/>
          <w:color w:val="1F497D"/>
          <w:sz w:val="22"/>
          <w:szCs w:val="22"/>
          <w:lang w:eastAsia="en-US"/>
        </w:rPr>
        <w:t xml:space="preserve">prise en charge dans l’immunisation active des sujets à partir de l'âge de 12 mois contre les maladies méningococciques invasives dues aux Neisseria meningitidis des groupes A, C, W-135 et Y, selon les recommandations en vigueur de la HAS datant </w:t>
      </w:r>
      <w:r w:rsidR="00D867AD">
        <w:rPr>
          <w:rFonts w:ascii="Calibri" w:hAnsi="Calibri"/>
          <w:color w:val="1F497D"/>
          <w:sz w:val="22"/>
          <w:szCs w:val="22"/>
          <w:lang w:eastAsia="en-US"/>
        </w:rPr>
        <w:t xml:space="preserve">du </w:t>
      </w:r>
      <w:hyperlink r:id="rId20" w:history="1">
        <w:r w:rsidR="003F0148" w:rsidRPr="008D19E5">
          <w:rPr>
            <w:rStyle w:val="Lienhypertexte"/>
            <w:rFonts w:ascii="Calibri" w:hAnsi="Calibri"/>
            <w:sz w:val="22"/>
            <w:szCs w:val="22"/>
            <w:lang w:eastAsia="en-US"/>
          </w:rPr>
          <w:t>7 mars 2024</w:t>
        </w:r>
      </w:hyperlink>
      <w:r w:rsidR="003F0148">
        <w:rPr>
          <w:rStyle w:val="Lienhypertexte"/>
          <w:rFonts w:ascii="Calibri" w:hAnsi="Calibri"/>
          <w:sz w:val="22"/>
          <w:szCs w:val="22"/>
          <w:lang w:eastAsia="en-US"/>
        </w:rPr>
        <w:t xml:space="preserve"> </w:t>
      </w:r>
      <w:r w:rsidR="00431B6F">
        <w:rPr>
          <w:rFonts w:ascii="Calibri" w:hAnsi="Calibri"/>
          <w:color w:val="1F497D"/>
          <w:sz w:val="22"/>
          <w:szCs w:val="22"/>
          <w:lang w:eastAsia="en-US"/>
        </w:rPr>
        <w:t xml:space="preserve">et du </w:t>
      </w:r>
      <w:hyperlink r:id="rId21" w:history="1">
        <w:r w:rsidR="003F0148" w:rsidRPr="008D19E5">
          <w:rPr>
            <w:rStyle w:val="Lienhypertexte"/>
            <w:rFonts w:ascii="Calibri" w:hAnsi="Calibri"/>
            <w:sz w:val="22"/>
            <w:szCs w:val="22"/>
            <w:lang w:eastAsia="en-US"/>
          </w:rPr>
          <w:t>27 juin 2024</w:t>
        </w:r>
      </w:hyperlink>
      <w:r w:rsidR="00431B6F" w:rsidRPr="009D11D7">
        <w:rPr>
          <w:rFonts w:ascii="Calibri" w:hAnsi="Calibri"/>
          <w:color w:val="FF0000"/>
          <w:sz w:val="22"/>
          <w:szCs w:val="22"/>
          <w:lang w:eastAsia="en-US"/>
        </w:rPr>
        <w:t>.</w:t>
      </w:r>
    </w:p>
    <w:p w14:paraId="1B42EFFC" w14:textId="77777777" w:rsidR="00431B6F" w:rsidRPr="00186F6C"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cs="Calibri"/>
          <w:b/>
          <w:color w:val="1F497D"/>
          <w:sz w:val="22"/>
          <w:szCs w:val="22"/>
          <w:lang w:eastAsia="en-US"/>
        </w:rPr>
        <w:t xml:space="preserve">PEC chez tous les nourrissons à </w:t>
      </w:r>
      <w:r>
        <w:rPr>
          <w:rFonts w:ascii="Calibri" w:hAnsi="Calibri" w:cs="Calibri"/>
          <w:b/>
          <w:color w:val="1F497D"/>
          <w:sz w:val="22"/>
          <w:szCs w:val="22"/>
          <w:lang w:eastAsia="en-US"/>
        </w:rPr>
        <w:t xml:space="preserve">partir de </w:t>
      </w:r>
      <w:r w:rsidR="008D19E5">
        <w:rPr>
          <w:rFonts w:ascii="Calibri" w:hAnsi="Calibri" w:cs="Calibri"/>
          <w:b/>
          <w:color w:val="1F497D"/>
          <w:sz w:val="22"/>
          <w:szCs w:val="22"/>
          <w:lang w:eastAsia="en-US"/>
        </w:rPr>
        <w:t xml:space="preserve">12 mois </w:t>
      </w:r>
      <w:r w:rsidR="008D19E5" w:rsidRPr="00186F6C">
        <w:rPr>
          <w:rFonts w:ascii="Calibri" w:hAnsi="Calibri" w:cs="Calibri"/>
          <w:b/>
          <w:color w:val="1F497D"/>
          <w:sz w:val="22"/>
          <w:szCs w:val="22"/>
          <w:lang w:eastAsia="en-US"/>
        </w:rPr>
        <w:t>et</w:t>
      </w:r>
      <w:r w:rsidRPr="00186F6C">
        <w:rPr>
          <w:rFonts w:ascii="Calibri" w:hAnsi="Calibri" w:cs="Calibri"/>
          <w:b/>
          <w:color w:val="1F497D"/>
          <w:sz w:val="22"/>
          <w:szCs w:val="22"/>
          <w:lang w:eastAsia="en-US"/>
        </w:rPr>
        <w:t xml:space="preserve"> rattrapage vaccinal entre 12 et 24 mois</w:t>
      </w:r>
    </w:p>
    <w:p w14:paraId="71FD4C58" w14:textId="77777777" w:rsidR="00431B6F" w:rsidRPr="00186F6C"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b/>
          <w:color w:val="1F497D"/>
          <w:sz w:val="22"/>
          <w:szCs w:val="22"/>
          <w:lang w:eastAsia="en-US"/>
        </w:rPr>
        <w:t>PEC chez tous les adolescents de 11 à 14 ans</w:t>
      </w:r>
    </w:p>
    <w:p w14:paraId="1D66B5D8" w14:textId="0A671FA2" w:rsidR="00431B6F" w:rsidRPr="00B23D08" w:rsidRDefault="00431B6F" w:rsidP="00431B6F">
      <w:pPr>
        <w:pStyle w:val="Paragraphedeliste"/>
        <w:numPr>
          <w:ilvl w:val="0"/>
          <w:numId w:val="2"/>
        </w:numPr>
        <w:ind w:left="708"/>
        <w:rPr>
          <w:rFonts w:ascii="Calibri" w:hAnsi="Calibri" w:cs="Calibri"/>
          <w:b/>
          <w:color w:val="1F497D"/>
          <w:sz w:val="22"/>
          <w:szCs w:val="22"/>
          <w:lang w:eastAsia="en-US"/>
        </w:rPr>
      </w:pPr>
      <w:r w:rsidRPr="00186F6C">
        <w:rPr>
          <w:rFonts w:ascii="Calibri" w:hAnsi="Calibri"/>
          <w:b/>
          <w:color w:val="1F497D"/>
          <w:sz w:val="22"/>
          <w:szCs w:val="22"/>
          <w:lang w:eastAsia="en-US"/>
        </w:rPr>
        <w:t>PEC en rattrapage vaccinal chez les 15-24 ans</w:t>
      </w:r>
    </w:p>
    <w:p w14:paraId="73D34FC0" w14:textId="674EFFE5" w:rsidR="00B23D08" w:rsidRPr="00B23D08" w:rsidRDefault="00B23D08" w:rsidP="00B23D08">
      <w:pPr>
        <w:numPr>
          <w:ilvl w:val="0"/>
          <w:numId w:val="2"/>
        </w:numPr>
        <w:ind w:left="708"/>
        <w:rPr>
          <w:rFonts w:ascii="Calibri" w:hAnsi="Calibri" w:cs="Calibri"/>
          <w:b/>
          <w:color w:val="1F497D"/>
          <w:sz w:val="22"/>
          <w:szCs w:val="22"/>
          <w:lang w:eastAsia="en-US"/>
        </w:rPr>
      </w:pPr>
      <w:r w:rsidRPr="00B23D08">
        <w:rPr>
          <w:rFonts w:ascii="Calibri" w:hAnsi="Calibri" w:cs="Calibri"/>
          <w:b/>
          <w:color w:val="1F497D"/>
          <w:sz w:val="22"/>
          <w:szCs w:val="22"/>
          <w:lang w:eastAsia="en-US"/>
        </w:rPr>
        <w:t xml:space="preserve">PEC dans les populations recommandées par la HAS le </w:t>
      </w:r>
      <w:hyperlink r:id="rId22" w:history="1">
        <w:r w:rsidRPr="00B23D08">
          <w:rPr>
            <w:rFonts w:ascii="Calibri" w:hAnsi="Calibri" w:cs="Calibri"/>
            <w:b/>
            <w:color w:val="0000FF" w:themeColor="hyperlink"/>
            <w:sz w:val="22"/>
            <w:szCs w:val="22"/>
            <w:u w:val="single"/>
            <w:lang w:eastAsia="en-US"/>
          </w:rPr>
          <w:t>11 mars 2021</w:t>
        </w:r>
      </w:hyperlink>
    </w:p>
    <w:p w14:paraId="2326F3E0" w14:textId="76378787" w:rsidR="00431B6F" w:rsidRDefault="00431B6F" w:rsidP="009D11D7"/>
    <w:p w14:paraId="72D48E31" w14:textId="77777777" w:rsidR="00E55946" w:rsidRDefault="00E55946" w:rsidP="008D19E5">
      <w:pPr>
        <w:rPr>
          <w:rFonts w:ascii="Calibri" w:hAnsi="Calibri"/>
          <w:b/>
          <w:color w:val="1F497D"/>
          <w:sz w:val="22"/>
          <w:szCs w:val="22"/>
          <w:u w:val="single"/>
          <w:lang w:eastAsia="en-US"/>
        </w:rPr>
      </w:pPr>
    </w:p>
    <w:p w14:paraId="2866A5ED" w14:textId="06EDFB76" w:rsidR="00431B6F" w:rsidRPr="00235FB0" w:rsidRDefault="008D19E5" w:rsidP="008D19E5">
      <w:pPr>
        <w:rPr>
          <w:rFonts w:ascii="Calibri" w:hAnsi="Calibri"/>
          <w:b/>
          <w:color w:val="1F497D"/>
          <w:sz w:val="22"/>
          <w:szCs w:val="22"/>
          <w:u w:val="single"/>
          <w:lang w:eastAsia="en-US"/>
        </w:rPr>
      </w:pPr>
      <w:r w:rsidRPr="00235FB0">
        <w:rPr>
          <w:rFonts w:ascii="Calibri" w:hAnsi="Calibri"/>
          <w:b/>
          <w:color w:val="1F497D"/>
          <w:sz w:val="22"/>
          <w:szCs w:val="22"/>
          <w:u w:val="single"/>
          <w:lang w:eastAsia="en-US"/>
        </w:rPr>
        <w:t>MENVEO®</w:t>
      </w:r>
    </w:p>
    <w:p w14:paraId="04F84EDE" w14:textId="77777777" w:rsidR="00431B6F" w:rsidRDefault="00431B6F" w:rsidP="00431B6F">
      <w:pPr>
        <w:pStyle w:val="Paragraphedeliste"/>
        <w:ind w:left="1068"/>
        <w:rPr>
          <w:rFonts w:ascii="Calibri" w:hAnsi="Calibri"/>
          <w:color w:val="1F497D"/>
          <w:sz w:val="22"/>
          <w:szCs w:val="22"/>
          <w:lang w:eastAsia="en-US"/>
        </w:rPr>
      </w:pPr>
    </w:p>
    <w:p w14:paraId="0100EFC2" w14:textId="519C9A14" w:rsidR="00D867AD" w:rsidRDefault="00D867AD" w:rsidP="00D867AD">
      <w:pPr>
        <w:pStyle w:val="Paragraphedeliste"/>
        <w:ind w:left="696"/>
        <w:jc w:val="both"/>
        <w:rPr>
          <w:rFonts w:ascii="Calibri" w:hAnsi="Calibri"/>
          <w:color w:val="1F497D"/>
          <w:sz w:val="22"/>
          <w:szCs w:val="22"/>
          <w:lang w:eastAsia="en-US"/>
        </w:rPr>
      </w:pPr>
      <w:hyperlink r:id="rId23" w:history="1">
        <w:r w:rsidRPr="00D867AD">
          <w:rPr>
            <w:rStyle w:val="Lienhypertexte"/>
            <w:rFonts w:ascii="Calibri" w:hAnsi="Calibri"/>
            <w:sz w:val="22"/>
            <w:szCs w:val="22"/>
            <w:lang w:eastAsia="en-US"/>
          </w:rPr>
          <w:t>Arrêté du 28 juillet 2025</w:t>
        </w:r>
      </w:hyperlink>
      <w:r w:rsidR="008D19E5">
        <w:rPr>
          <w:rFonts w:ascii="Calibri" w:hAnsi="Calibri"/>
          <w:color w:val="1F497D"/>
          <w:sz w:val="22"/>
          <w:szCs w:val="22"/>
          <w:lang w:eastAsia="en-US"/>
        </w:rPr>
        <w:t>:</w:t>
      </w:r>
      <w:r w:rsidR="00431B6F">
        <w:rPr>
          <w:rFonts w:ascii="Calibri" w:hAnsi="Calibri"/>
          <w:color w:val="1F497D"/>
          <w:sz w:val="22"/>
          <w:szCs w:val="22"/>
          <w:lang w:eastAsia="en-US"/>
        </w:rPr>
        <w:t xml:space="preserve"> </w:t>
      </w:r>
      <w:r w:rsidRPr="00D867AD">
        <w:rPr>
          <w:rFonts w:ascii="Calibri" w:hAnsi="Calibri"/>
          <w:color w:val="1F497D"/>
          <w:sz w:val="22"/>
          <w:szCs w:val="22"/>
          <w:lang w:eastAsia="en-US"/>
        </w:rPr>
        <w:t xml:space="preserve">prise en charge dans </w:t>
      </w:r>
      <w:r>
        <w:rPr>
          <w:rFonts w:ascii="Calibri" w:hAnsi="Calibri"/>
          <w:color w:val="1F497D"/>
          <w:sz w:val="22"/>
          <w:szCs w:val="22"/>
          <w:lang w:eastAsia="en-US"/>
        </w:rPr>
        <w:t>l’</w:t>
      </w:r>
      <w:r w:rsidRPr="00D867AD">
        <w:rPr>
          <w:rFonts w:ascii="Calibri" w:hAnsi="Calibri"/>
          <w:color w:val="1F497D"/>
          <w:sz w:val="22"/>
          <w:szCs w:val="22"/>
          <w:lang w:eastAsia="en-US"/>
        </w:rPr>
        <w:t>immunisation active des sujets à partir de 2 ans contre les maladies méningococciques invasives dues aux Neisseria meningitidis des groupes A, C, W-135 et Y, selon les recommandations en vigueur de la HAS datant du</w:t>
      </w:r>
      <w:hyperlink r:id="rId24" w:history="1">
        <w:r w:rsidRPr="00D867AD">
          <w:rPr>
            <w:rStyle w:val="Lienhypertexte"/>
            <w:rFonts w:ascii="Calibri" w:hAnsi="Calibri"/>
            <w:sz w:val="22"/>
            <w:szCs w:val="22"/>
            <w:lang w:eastAsia="en-US"/>
          </w:rPr>
          <w:t>7 mars 2024</w:t>
        </w:r>
      </w:hyperlink>
      <w:r w:rsidRPr="00D867AD">
        <w:rPr>
          <w:rFonts w:ascii="Calibri" w:hAnsi="Calibri"/>
          <w:color w:val="1F497D"/>
          <w:sz w:val="22"/>
          <w:szCs w:val="22"/>
          <w:lang w:eastAsia="en-US"/>
        </w:rPr>
        <w:t xml:space="preserve"> et du </w:t>
      </w:r>
      <w:hyperlink r:id="rId25" w:history="1">
        <w:r w:rsidRPr="00D867AD">
          <w:rPr>
            <w:rStyle w:val="Lienhypertexte"/>
            <w:rFonts w:ascii="Calibri" w:hAnsi="Calibri"/>
            <w:sz w:val="22"/>
            <w:szCs w:val="22"/>
            <w:lang w:eastAsia="en-US"/>
          </w:rPr>
          <w:t>27 juin 2024</w:t>
        </w:r>
      </w:hyperlink>
      <w:r w:rsidRPr="00D867AD">
        <w:rPr>
          <w:rFonts w:ascii="Calibri" w:hAnsi="Calibri"/>
          <w:color w:val="1F497D"/>
          <w:sz w:val="22"/>
          <w:szCs w:val="22"/>
          <w:lang w:eastAsia="en-US"/>
        </w:rPr>
        <w:t>.</w:t>
      </w:r>
    </w:p>
    <w:p w14:paraId="783E367C" w14:textId="77777777" w:rsidR="00D867AD" w:rsidRPr="00186F6C" w:rsidRDefault="00D867AD" w:rsidP="00D867AD">
      <w:pPr>
        <w:pStyle w:val="Paragraphedeliste"/>
        <w:numPr>
          <w:ilvl w:val="0"/>
          <w:numId w:val="2"/>
        </w:numPr>
        <w:ind w:left="708"/>
        <w:rPr>
          <w:rFonts w:ascii="Calibri" w:hAnsi="Calibri" w:cs="Calibri"/>
          <w:b/>
          <w:color w:val="1F497D"/>
          <w:sz w:val="22"/>
          <w:szCs w:val="22"/>
          <w:lang w:eastAsia="en-US"/>
        </w:rPr>
      </w:pPr>
      <w:r w:rsidRPr="00186F6C">
        <w:rPr>
          <w:rFonts w:ascii="Calibri" w:hAnsi="Calibri"/>
          <w:b/>
          <w:color w:val="1F497D"/>
          <w:sz w:val="22"/>
          <w:szCs w:val="22"/>
          <w:lang w:eastAsia="en-US"/>
        </w:rPr>
        <w:t>PEC chez tous les adolescents de 11 à 14 ans</w:t>
      </w:r>
    </w:p>
    <w:p w14:paraId="05BD325B" w14:textId="77777777" w:rsidR="00D867AD" w:rsidRPr="00B23D08" w:rsidRDefault="00D867AD" w:rsidP="00D867AD">
      <w:pPr>
        <w:pStyle w:val="Paragraphedeliste"/>
        <w:numPr>
          <w:ilvl w:val="0"/>
          <w:numId w:val="2"/>
        </w:numPr>
        <w:ind w:left="708"/>
        <w:rPr>
          <w:rFonts w:ascii="Calibri" w:hAnsi="Calibri" w:cs="Calibri"/>
          <w:b/>
          <w:color w:val="1F497D"/>
          <w:sz w:val="22"/>
          <w:szCs w:val="22"/>
          <w:lang w:eastAsia="en-US"/>
        </w:rPr>
      </w:pPr>
      <w:r w:rsidRPr="00186F6C">
        <w:rPr>
          <w:rFonts w:ascii="Calibri" w:hAnsi="Calibri"/>
          <w:b/>
          <w:color w:val="1F497D"/>
          <w:sz w:val="22"/>
          <w:szCs w:val="22"/>
          <w:lang w:eastAsia="en-US"/>
        </w:rPr>
        <w:t>PEC en rattrapage vaccinal chez les 15-24 ans</w:t>
      </w:r>
    </w:p>
    <w:p w14:paraId="4641718C" w14:textId="77777777" w:rsidR="00D867AD" w:rsidRPr="00B23D08" w:rsidRDefault="00D867AD" w:rsidP="00D867AD">
      <w:pPr>
        <w:numPr>
          <w:ilvl w:val="0"/>
          <w:numId w:val="2"/>
        </w:numPr>
        <w:ind w:left="708"/>
        <w:rPr>
          <w:rFonts w:ascii="Calibri" w:hAnsi="Calibri" w:cs="Calibri"/>
          <w:b/>
          <w:color w:val="1F497D"/>
          <w:sz w:val="22"/>
          <w:szCs w:val="22"/>
          <w:lang w:eastAsia="en-US"/>
        </w:rPr>
      </w:pPr>
      <w:r w:rsidRPr="00B23D08">
        <w:rPr>
          <w:rFonts w:ascii="Calibri" w:hAnsi="Calibri" w:cs="Calibri"/>
          <w:b/>
          <w:color w:val="1F497D"/>
          <w:sz w:val="22"/>
          <w:szCs w:val="22"/>
          <w:lang w:eastAsia="en-US"/>
        </w:rPr>
        <w:t xml:space="preserve">PEC dans les populations recommandées par la HAS le </w:t>
      </w:r>
      <w:hyperlink r:id="rId26" w:history="1">
        <w:r w:rsidRPr="00B23D08">
          <w:rPr>
            <w:rFonts w:ascii="Calibri" w:hAnsi="Calibri" w:cs="Calibri"/>
            <w:b/>
            <w:color w:val="0000FF" w:themeColor="hyperlink"/>
            <w:sz w:val="22"/>
            <w:szCs w:val="22"/>
            <w:u w:val="single"/>
            <w:lang w:eastAsia="en-US"/>
          </w:rPr>
          <w:t>11 mars 2021</w:t>
        </w:r>
      </w:hyperlink>
    </w:p>
    <w:p w14:paraId="175EC2D4" w14:textId="2B7677CC" w:rsidR="009D11D7" w:rsidRPr="009D11D7" w:rsidRDefault="009D11D7" w:rsidP="009D11D7">
      <w:pPr>
        <w:jc w:val="both"/>
        <w:rPr>
          <w:rFonts w:ascii="Calibri" w:hAnsi="Calibri" w:cs="Calibri"/>
          <w:color w:val="FF0000"/>
          <w:sz w:val="22"/>
          <w:szCs w:val="22"/>
        </w:rPr>
      </w:pPr>
    </w:p>
    <w:p w14:paraId="6EAF9389" w14:textId="55E1CB3B" w:rsidR="00CD61D0" w:rsidRPr="00CD61D0" w:rsidRDefault="00CD61D0" w:rsidP="00CD61D0">
      <w:pPr>
        <w:jc w:val="both"/>
        <w:rPr>
          <w:rFonts w:ascii="Calibri" w:hAnsi="Calibri" w:cs="Calibri"/>
          <w:color w:val="1F497D" w:themeColor="text2"/>
          <w:sz w:val="22"/>
          <w:szCs w:val="22"/>
        </w:rPr>
      </w:pPr>
    </w:p>
    <w:p w14:paraId="60BBE215" w14:textId="77777777" w:rsidR="00431B6F" w:rsidRDefault="00431B6F" w:rsidP="00431B6F"/>
    <w:p w14:paraId="22DD2E73" w14:textId="1076E18F" w:rsidR="00223E26" w:rsidRPr="0022320E" w:rsidRDefault="00977BDB" w:rsidP="00223E26">
      <w:pPr>
        <w:pStyle w:val="Paragraphedeliste"/>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Calibri" w:hAnsi="Calibri" w:cs="Calibri"/>
          <w:b/>
          <w:color w:val="1F497D"/>
          <w:sz w:val="22"/>
          <w:szCs w:val="22"/>
          <w:lang w:eastAsia="en-US"/>
        </w:rPr>
      </w:pPr>
      <w:r>
        <w:rPr>
          <w:rFonts w:ascii="Calibri" w:hAnsi="Calibri" w:cs="Calibri"/>
          <w:b/>
          <w:color w:val="1F497D"/>
          <w:sz w:val="22"/>
          <w:szCs w:val="22"/>
          <w:lang w:eastAsia="en-US"/>
        </w:rPr>
        <w:t xml:space="preserve">2- </w:t>
      </w:r>
      <w:r w:rsidR="00223E26" w:rsidRPr="0022320E">
        <w:rPr>
          <w:rFonts w:ascii="Calibri" w:hAnsi="Calibri" w:cs="Calibri"/>
          <w:b/>
          <w:color w:val="1F497D"/>
          <w:sz w:val="22"/>
          <w:szCs w:val="22"/>
          <w:lang w:eastAsia="en-US"/>
        </w:rPr>
        <w:t xml:space="preserve">VACCINATION </w:t>
      </w:r>
      <w:r w:rsidR="00223E26">
        <w:rPr>
          <w:rFonts w:ascii="Calibri" w:hAnsi="Calibri" w:cs="Calibri"/>
          <w:b/>
          <w:color w:val="1F497D"/>
          <w:sz w:val="22"/>
          <w:szCs w:val="22"/>
          <w:lang w:eastAsia="en-US"/>
        </w:rPr>
        <w:t>SOUCHE B</w:t>
      </w:r>
    </w:p>
    <w:p w14:paraId="1A4BBE0F" w14:textId="122054F1" w:rsidR="00223E26" w:rsidRDefault="00223E26" w:rsidP="00223E26">
      <w:pPr>
        <w:ind w:left="360"/>
        <w:rPr>
          <w:rFonts w:ascii="Calibri" w:hAnsi="Calibri" w:cs="Calibri"/>
          <w:b/>
        </w:rPr>
      </w:pPr>
    </w:p>
    <w:p w14:paraId="386B0DD2" w14:textId="0BE0F0BA" w:rsidR="009D11D7" w:rsidRPr="009D11D7" w:rsidRDefault="009D11D7" w:rsidP="00FB05CB">
      <w:pPr>
        <w:pStyle w:val="Paragraphedeliste"/>
        <w:ind w:left="360"/>
        <w:jc w:val="both"/>
        <w:rPr>
          <w:rFonts w:ascii="Calibri" w:hAnsi="Calibri" w:cs="Calibri"/>
          <w:b/>
          <w:color w:val="FF0000"/>
          <w:sz w:val="22"/>
          <w:szCs w:val="22"/>
          <w:u w:val="single"/>
        </w:rPr>
      </w:pPr>
      <w:hyperlink r:id="rId27" w:history="1">
        <w:r w:rsidRPr="009D11D7">
          <w:rPr>
            <w:rStyle w:val="Lienhypertexte"/>
            <w:rFonts w:ascii="Calibri" w:hAnsi="Calibri" w:cs="Calibri"/>
            <w:b/>
            <w:color w:val="FF0000"/>
            <w:sz w:val="22"/>
            <w:szCs w:val="22"/>
          </w:rPr>
          <w:t>Rappel des recommandations spécifiques MenB du</w:t>
        </w:r>
        <w:r w:rsidRPr="009D11D7">
          <w:rPr>
            <w:rStyle w:val="Lienhypertexte"/>
            <w:rFonts w:asciiTheme="minorHAnsi" w:hAnsiTheme="minorHAnsi" w:cstheme="minorHAnsi"/>
            <w:b/>
            <w:color w:val="FF0000"/>
            <w:sz w:val="22"/>
            <w:szCs w:val="22"/>
          </w:rPr>
          <w:t xml:space="preserve"> </w:t>
        </w:r>
        <w:r w:rsidRPr="00FB05CB">
          <w:rPr>
            <w:rStyle w:val="Lienhypertexte"/>
            <w:rFonts w:ascii="Calibri" w:hAnsi="Calibri" w:cs="Calibri"/>
            <w:b/>
            <w:color w:val="7030A0"/>
            <w:sz w:val="22"/>
            <w:szCs w:val="22"/>
          </w:rPr>
          <w:t>3 juin 2021</w:t>
        </w:r>
        <w:r w:rsidRPr="009D11D7">
          <w:rPr>
            <w:rStyle w:val="Lienhypertexte"/>
            <w:rFonts w:ascii="Calibri" w:hAnsi="Calibri" w:cs="Calibri"/>
            <w:b/>
            <w:color w:val="FF0000"/>
            <w:sz w:val="22"/>
            <w:szCs w:val="22"/>
          </w:rPr>
          <w:t> :</w:t>
        </w:r>
      </w:hyperlink>
      <w:r w:rsidRPr="009D11D7">
        <w:rPr>
          <w:rFonts w:ascii="Calibri" w:hAnsi="Calibri" w:cs="Calibri"/>
          <w:b/>
          <w:color w:val="FF0000"/>
          <w:sz w:val="22"/>
          <w:szCs w:val="22"/>
          <w:u w:val="single"/>
        </w:rPr>
        <w:t xml:space="preserve"> populations à risque de contracter une IIM.</w:t>
      </w:r>
    </w:p>
    <w:p w14:paraId="7DFE0D39" w14:textId="13115239" w:rsidR="009D11D7" w:rsidRPr="009D11D7" w:rsidRDefault="009D11D7" w:rsidP="00FB05CB">
      <w:pPr>
        <w:pStyle w:val="Sansinterligne"/>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La vaccination des populations particulièrement exposées ou à risque telles que définies dans les recommandations publiées par le HCSP en 2013.  La HAS prend en compte l’existence d’un nouveau traitement antiC5 et introduit la vaccination de l’entourage familial des personnes à risque élevé d’IIM et le rappel à 5 ans pour les patients de plus de 2 ans présentant un risque continu d’exposition à une infection méningococcique.</w:t>
      </w:r>
    </w:p>
    <w:p w14:paraId="164E3F0B" w14:textId="77777777" w:rsidR="009D11D7" w:rsidRPr="009D11D7" w:rsidRDefault="009D11D7" w:rsidP="00FB05CB">
      <w:pPr>
        <w:pStyle w:val="Sansinterligne"/>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La HAS recommande donc que le vaccin BEXSERO® soit mis à la disposition des groupes de population suivants, selon les indications présentées dans l'autorisation européenne de mise sur le marché :</w:t>
      </w:r>
    </w:p>
    <w:p w14:paraId="52D53BDF" w14:textId="1D4126A6"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personnels des laboratoires de recherche travaillant spécifiquement sur le méningocoque ;</w:t>
      </w:r>
    </w:p>
    <w:p w14:paraId="5966C0AA" w14:textId="77819FB2"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personnes porteuses d’un déficit en fraction terminale du complément ou qui reçoivent un traitement anti-C5 notamment les personnes qui reçoivent un traitement par eculizumab (SOLIRIS®) ou ravulizumab (ULTOMIRIS®). Les personnes vaccinées dans le cadre d’une affection médiée par le complément doivent faire l’objet d’une surveillance post vaccinale du fait de la survenue possible d’une hémolyse ;</w:t>
      </w:r>
    </w:p>
    <w:p w14:paraId="55FA0DC0" w14:textId="0245E079"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personnes porteuses d’un déficit en properdine ;</w:t>
      </w:r>
    </w:p>
    <w:p w14:paraId="74EE7057" w14:textId="096AC6A6"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personnes ayant une asplénie anatomique ou fonctionnelle ;</w:t>
      </w:r>
    </w:p>
    <w:p w14:paraId="7A58A187" w14:textId="7CB83D92"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personnes ayant reçu une greffe de cellules souches hématopoïétiques ;</w:t>
      </w:r>
    </w:p>
    <w:p w14:paraId="3539B5D9" w14:textId="15C521B5"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L’entourage familial des personnes à risque élevée des IIM ;</w:t>
      </w:r>
    </w:p>
    <w:p w14:paraId="02021EC7" w14:textId="257B7125" w:rsidR="009D11D7" w:rsidRPr="009D11D7" w:rsidRDefault="009D11D7" w:rsidP="00FB05CB">
      <w:pPr>
        <w:pStyle w:val="Sansinterligne"/>
        <w:numPr>
          <w:ilvl w:val="0"/>
          <w:numId w:val="6"/>
        </w:numPr>
        <w:ind w:left="360"/>
        <w:jc w:val="both"/>
        <w:rPr>
          <w:rFonts w:asciiTheme="minorHAnsi" w:hAnsiTheme="minorHAnsi" w:cstheme="minorHAnsi"/>
          <w:i/>
          <w:color w:val="FF0000"/>
          <w:sz w:val="22"/>
          <w:szCs w:val="22"/>
        </w:rPr>
      </w:pPr>
      <w:r w:rsidRPr="009D11D7">
        <w:rPr>
          <w:rFonts w:asciiTheme="minorHAnsi" w:hAnsiTheme="minorHAnsi" w:cstheme="minorHAnsi"/>
          <w:i/>
          <w:color w:val="FF0000"/>
          <w:sz w:val="22"/>
          <w:szCs w:val="22"/>
        </w:rPr>
        <w:t>Les enfants de plus de 2 ans, les adolescents et les adultes présentant un risque continu d’exposition à une infection méningococcique recevront une injection de rappel tous les 5 ans.</w:t>
      </w:r>
    </w:p>
    <w:p w14:paraId="7D67662F" w14:textId="77777777" w:rsidR="009D11D7" w:rsidRPr="009D11D7" w:rsidRDefault="009D11D7" w:rsidP="00FB05CB">
      <w:pPr>
        <w:ind w:left="24"/>
        <w:rPr>
          <w:rFonts w:ascii="Calibri" w:hAnsi="Calibri" w:cs="Calibri"/>
          <w:b/>
          <w:sz w:val="22"/>
          <w:szCs w:val="22"/>
        </w:rPr>
      </w:pPr>
    </w:p>
    <w:p w14:paraId="66C6F57A" w14:textId="77777777" w:rsidR="00235FB0" w:rsidRPr="00223E26" w:rsidRDefault="00235FB0" w:rsidP="00223E26">
      <w:pPr>
        <w:ind w:left="360"/>
        <w:rPr>
          <w:rFonts w:ascii="Calibri" w:hAnsi="Calibri" w:cs="Calibri"/>
          <w:b/>
        </w:rPr>
      </w:pPr>
    </w:p>
    <w:p w14:paraId="79C433B7" w14:textId="77777777" w:rsidR="00F907A1" w:rsidRPr="00F907A1" w:rsidRDefault="00235FB0" w:rsidP="00F907A1">
      <w:pPr>
        <w:pStyle w:val="Paragraphedeliste"/>
        <w:numPr>
          <w:ilvl w:val="0"/>
          <w:numId w:val="5"/>
        </w:numPr>
        <w:jc w:val="both"/>
        <w:rPr>
          <w:rStyle w:val="Lienhypertexte"/>
          <w:rFonts w:ascii="Calibri" w:hAnsi="Calibri" w:cs="Calibri"/>
          <w:color w:val="auto"/>
          <w:u w:val="none"/>
        </w:rPr>
      </w:pPr>
      <w:r w:rsidRPr="008D19E5">
        <w:rPr>
          <w:rFonts w:ascii="Calibri" w:hAnsi="Calibri" w:cs="Calibri"/>
          <w:color w:val="1F497D"/>
          <w:sz w:val="22"/>
          <w:szCs w:val="22"/>
          <w:lang w:eastAsia="en-US"/>
        </w:rPr>
        <w:lastRenderedPageBreak/>
        <w:t xml:space="preserve">Vaccination obligatoire chez le nourrisson depuis le 01/01/2025 : </w:t>
      </w:r>
      <w:hyperlink r:id="rId28" w:history="1">
        <w:r w:rsidRPr="008D19E5">
          <w:rPr>
            <w:rStyle w:val="Lienhypertexte"/>
            <w:rFonts w:ascii="Calibri" w:hAnsi="Calibri" w:cs="Calibri"/>
            <w:sz w:val="22"/>
            <w:szCs w:val="22"/>
            <w:lang w:eastAsia="en-US"/>
          </w:rPr>
          <w:t>décret n°2024-394 du 5 juillet 2024</w:t>
        </w:r>
      </w:hyperlink>
    </w:p>
    <w:p w14:paraId="7700F0FB" w14:textId="77777777" w:rsidR="00F907A1" w:rsidRPr="00F907A1" w:rsidRDefault="00F907A1" w:rsidP="00F907A1">
      <w:pPr>
        <w:pStyle w:val="Paragraphedeliste"/>
        <w:numPr>
          <w:ilvl w:val="0"/>
          <w:numId w:val="5"/>
        </w:numPr>
        <w:jc w:val="both"/>
        <w:rPr>
          <w:rFonts w:ascii="Calibri" w:hAnsi="Calibri" w:cs="Calibri"/>
          <w:color w:val="1F497D"/>
          <w:sz w:val="22"/>
          <w:szCs w:val="22"/>
          <w:lang w:eastAsia="en-US"/>
        </w:rPr>
      </w:pPr>
      <w:hyperlink r:id="rId29" w:history="1">
        <w:r w:rsidRPr="00F907A1">
          <w:rPr>
            <w:rStyle w:val="Lienhypertexte"/>
            <w:rFonts w:ascii="Calibri" w:hAnsi="Calibri" w:cs="Calibri"/>
            <w:sz w:val="22"/>
            <w:szCs w:val="22"/>
            <w:lang w:eastAsia="en-US"/>
          </w:rPr>
          <w:t>Reco HAS du 7 mars 2024</w:t>
        </w:r>
      </w:hyperlink>
      <w:r>
        <w:rPr>
          <w:rFonts w:ascii="Calibri" w:hAnsi="Calibri" w:cs="Calibri"/>
          <w:color w:val="1F497D"/>
          <w:sz w:val="22"/>
          <w:szCs w:val="22"/>
          <w:lang w:eastAsia="en-US"/>
        </w:rPr>
        <w:t xml:space="preserve"> : </w:t>
      </w:r>
      <w:r w:rsidRPr="00F907A1">
        <w:rPr>
          <w:rFonts w:ascii="Calibri" w:hAnsi="Calibri" w:cs="Calibri"/>
          <w:color w:val="1F497D"/>
          <w:sz w:val="22"/>
          <w:szCs w:val="22"/>
          <w:lang w:eastAsia="en-US"/>
        </w:rPr>
        <w:t>la HAS ne recommande pas à ce stade d’élargir à tous les adolescents la vaccination dirigée contre le sérogroup</w:t>
      </w:r>
      <w:r>
        <w:rPr>
          <w:rFonts w:ascii="Calibri" w:hAnsi="Calibri" w:cs="Calibri"/>
          <w:color w:val="1F497D"/>
          <w:sz w:val="22"/>
          <w:szCs w:val="22"/>
          <w:lang w:eastAsia="en-US"/>
        </w:rPr>
        <w:t>e</w:t>
      </w:r>
      <w:r w:rsidRPr="00F907A1">
        <w:rPr>
          <w:rFonts w:ascii="Calibri" w:hAnsi="Calibri" w:cs="Calibri"/>
          <w:color w:val="1F497D"/>
          <w:sz w:val="22"/>
          <w:szCs w:val="22"/>
          <w:lang w:eastAsia="en-US"/>
        </w:rPr>
        <w:t xml:space="preserve"> B.</w:t>
      </w:r>
      <w:r>
        <w:rPr>
          <w:rFonts w:ascii="Calibri" w:hAnsi="Calibri" w:cs="Calibri"/>
          <w:color w:val="1F497D"/>
          <w:sz w:val="22"/>
          <w:szCs w:val="22"/>
          <w:lang w:eastAsia="en-US"/>
        </w:rPr>
        <w:t xml:space="preserve"> </w:t>
      </w:r>
      <w:r w:rsidRPr="00F907A1">
        <w:rPr>
          <w:rFonts w:ascii="Calibri" w:hAnsi="Calibri" w:cs="Calibri"/>
          <w:color w:val="1F497D"/>
          <w:sz w:val="22"/>
          <w:szCs w:val="22"/>
          <w:lang w:eastAsia="en-US"/>
        </w:rPr>
        <w:t>La HAS préconise toutefois que la vaccination dirigée contre le sérogroupe B puisse être remboursée chez tous les adolescents et jeunes adultes de 15 à 24 ans souhaitant se faire vacciner.</w:t>
      </w:r>
    </w:p>
    <w:p w14:paraId="7A29D6F9" w14:textId="77777777" w:rsidR="00F907A1" w:rsidRPr="00F907A1" w:rsidRDefault="00F907A1" w:rsidP="00F907A1">
      <w:pPr>
        <w:pStyle w:val="Paragraphedeliste"/>
        <w:jc w:val="both"/>
        <w:rPr>
          <w:rFonts w:ascii="Calibri" w:hAnsi="Calibri" w:cs="Calibri"/>
          <w:color w:val="1F497D"/>
          <w:sz w:val="22"/>
          <w:szCs w:val="22"/>
          <w:lang w:eastAsia="en-US"/>
        </w:rPr>
      </w:pPr>
      <w:r w:rsidRPr="00F907A1">
        <w:rPr>
          <w:rFonts w:ascii="Calibri" w:hAnsi="Calibri" w:cs="Calibri"/>
          <w:color w:val="1F497D"/>
          <w:sz w:val="22"/>
          <w:szCs w:val="22"/>
          <w:lang w:eastAsia="en-US"/>
        </w:rPr>
        <w:t>La HAS recommande en outre de renforcer la stratégie actuell</w:t>
      </w:r>
      <w:r>
        <w:rPr>
          <w:rFonts w:ascii="Calibri" w:hAnsi="Calibri" w:cs="Calibri"/>
          <w:color w:val="1F497D"/>
          <w:sz w:val="22"/>
          <w:szCs w:val="22"/>
          <w:lang w:eastAsia="en-US"/>
        </w:rPr>
        <w:t>ement en vigueur contre le séro</w:t>
      </w:r>
      <w:r w:rsidRPr="00F907A1">
        <w:rPr>
          <w:rFonts w:ascii="Calibri" w:hAnsi="Calibri" w:cs="Calibri"/>
          <w:color w:val="1F497D"/>
          <w:sz w:val="22"/>
          <w:szCs w:val="22"/>
          <w:lang w:eastAsia="en-US"/>
        </w:rPr>
        <w:t>groupe B chez les nourrissons en rendant obligatoire cette vaccination actuellement recommandée, selon le schéma suivant : première dose à l’âge de 3 mois, deuxième dose à 5 mois et dose de rappel à 12 mois (M3, M5, M12).</w:t>
      </w:r>
    </w:p>
    <w:p w14:paraId="32291029" w14:textId="77777777" w:rsidR="00F907A1" w:rsidRDefault="00F907A1" w:rsidP="00F907A1">
      <w:pPr>
        <w:pStyle w:val="Paragraphedeliste"/>
        <w:jc w:val="both"/>
        <w:rPr>
          <w:rFonts w:ascii="Calibri" w:hAnsi="Calibri" w:cs="Calibri"/>
          <w:color w:val="1F497D"/>
          <w:sz w:val="22"/>
          <w:szCs w:val="22"/>
          <w:lang w:eastAsia="en-US"/>
        </w:rPr>
      </w:pPr>
      <w:r w:rsidRPr="00F907A1">
        <w:rPr>
          <w:rFonts w:ascii="Calibri" w:hAnsi="Calibri" w:cs="Calibri"/>
          <w:color w:val="1F497D"/>
          <w:sz w:val="22"/>
          <w:szCs w:val="22"/>
          <w:lang w:eastAsia="en-US"/>
        </w:rPr>
        <w:t>La HAS recommande par ailleurs le maintien de la stratégie actuellement en vigueur chez les personnes à risque et en situation d’</w:t>
      </w:r>
      <w:r>
        <w:rPr>
          <w:rFonts w:ascii="Calibri" w:hAnsi="Calibri" w:cs="Calibri"/>
          <w:color w:val="1F497D"/>
          <w:sz w:val="22"/>
          <w:szCs w:val="22"/>
          <w:lang w:eastAsia="en-US"/>
        </w:rPr>
        <w:t>hyper</w:t>
      </w:r>
      <w:r w:rsidRPr="00F907A1">
        <w:rPr>
          <w:rFonts w:ascii="Calibri" w:hAnsi="Calibri" w:cs="Calibri"/>
          <w:color w:val="1F497D"/>
          <w:sz w:val="22"/>
          <w:szCs w:val="22"/>
          <w:lang w:eastAsia="en-US"/>
        </w:rPr>
        <w:t>endémie.</w:t>
      </w:r>
    </w:p>
    <w:p w14:paraId="627DFA3F" w14:textId="4770FFA4" w:rsidR="005D576F" w:rsidRDefault="005D576F" w:rsidP="005D576F">
      <w:pPr>
        <w:pStyle w:val="Paragraphedeliste"/>
        <w:numPr>
          <w:ilvl w:val="0"/>
          <w:numId w:val="3"/>
        </w:numPr>
        <w:rPr>
          <w:rFonts w:ascii="Calibri" w:hAnsi="Calibri" w:cs="Calibri"/>
          <w:color w:val="1F497D"/>
          <w:sz w:val="22"/>
          <w:szCs w:val="22"/>
          <w:lang w:eastAsia="en-US"/>
        </w:rPr>
      </w:pPr>
      <w:hyperlink r:id="rId30" w:history="1">
        <w:r w:rsidRPr="005D576F">
          <w:rPr>
            <w:rStyle w:val="Lienhypertexte"/>
            <w:rFonts w:ascii="Calibri" w:hAnsi="Calibri" w:cs="Calibri"/>
            <w:sz w:val="22"/>
            <w:szCs w:val="22"/>
            <w:lang w:eastAsia="en-US"/>
          </w:rPr>
          <w:t xml:space="preserve">Recommandation </w:t>
        </w:r>
        <w:r w:rsidRPr="005D576F">
          <w:rPr>
            <w:rStyle w:val="Lienhypertexte"/>
            <w:rFonts w:ascii="Calibri" w:hAnsi="Calibri" w:cs="Calibri"/>
            <w:b/>
            <w:sz w:val="22"/>
            <w:szCs w:val="22"/>
            <w:lang w:eastAsia="en-US"/>
          </w:rPr>
          <w:t xml:space="preserve">transitoire </w:t>
        </w:r>
        <w:r w:rsidRPr="005D576F">
          <w:rPr>
            <w:rStyle w:val="Lienhypertexte"/>
            <w:rFonts w:ascii="Calibri" w:hAnsi="Calibri" w:cs="Calibri"/>
            <w:sz w:val="22"/>
            <w:szCs w:val="22"/>
            <w:lang w:eastAsia="en-US"/>
          </w:rPr>
          <w:t>de la HAS du 18 mars 2025</w:t>
        </w:r>
      </w:hyperlink>
      <w:r w:rsidR="007721E7">
        <w:rPr>
          <w:rStyle w:val="Lienhypertexte"/>
          <w:rFonts w:ascii="Calibri" w:hAnsi="Calibri" w:cs="Calibri"/>
          <w:sz w:val="22"/>
          <w:szCs w:val="22"/>
          <w:lang w:eastAsia="en-US"/>
        </w:rPr>
        <w:t xml:space="preserve"> </w:t>
      </w:r>
      <w:r w:rsidRPr="004A6AF1">
        <w:rPr>
          <w:rFonts w:ascii="Calibri" w:hAnsi="Calibri" w:cs="Calibri"/>
          <w:b/>
          <w:color w:val="1F497D"/>
          <w:sz w:val="22"/>
          <w:szCs w:val="22"/>
          <w:lang w:eastAsia="en-US"/>
        </w:rPr>
        <w:t xml:space="preserve">: </w:t>
      </w:r>
      <w:r>
        <w:rPr>
          <w:rFonts w:ascii="Calibri" w:hAnsi="Calibri" w:cs="Calibri"/>
          <w:color w:val="1F497D"/>
          <w:sz w:val="22"/>
          <w:szCs w:val="22"/>
          <w:lang w:eastAsia="en-US"/>
        </w:rPr>
        <w:t>mise en place d’une stratégie de vaccination de rattrapage c</w:t>
      </w:r>
      <w:r w:rsidRPr="004A6AF1">
        <w:rPr>
          <w:rFonts w:ascii="Calibri" w:hAnsi="Calibri" w:cs="Calibri"/>
          <w:color w:val="1F497D"/>
          <w:sz w:val="22"/>
          <w:szCs w:val="22"/>
          <w:lang w:eastAsia="en-US"/>
        </w:rPr>
        <w:t>ontre le sérogroupe B chez les enfants entre 2 et 5 ans (avant leur 5éme anniversaire) n’ayant</w:t>
      </w:r>
      <w:r>
        <w:t xml:space="preserve"> </w:t>
      </w:r>
      <w:r w:rsidRPr="004A6AF1">
        <w:rPr>
          <w:rFonts w:ascii="Calibri" w:hAnsi="Calibri" w:cs="Calibri"/>
          <w:color w:val="1F497D"/>
          <w:sz w:val="22"/>
          <w:szCs w:val="22"/>
          <w:lang w:eastAsia="en-US"/>
        </w:rPr>
        <w:t>jamais été vaccinés contre le sérogroupe B.</w:t>
      </w:r>
    </w:p>
    <w:p w14:paraId="6824010D" w14:textId="4BB8A80C" w:rsidR="00ED2305" w:rsidRDefault="00ED2305" w:rsidP="005D576F">
      <w:pPr>
        <w:pStyle w:val="Paragraphedeliste"/>
        <w:numPr>
          <w:ilvl w:val="0"/>
          <w:numId w:val="3"/>
        </w:numPr>
        <w:rPr>
          <w:rFonts w:ascii="Calibri" w:hAnsi="Calibri" w:cs="Calibri"/>
          <w:color w:val="1F497D"/>
          <w:sz w:val="22"/>
          <w:szCs w:val="22"/>
          <w:lang w:eastAsia="en-US"/>
        </w:rPr>
      </w:pPr>
      <w:hyperlink r:id="rId31" w:history="1">
        <w:r w:rsidRPr="00ED2305">
          <w:rPr>
            <w:rStyle w:val="Lienhypertexte"/>
            <w:rFonts w:ascii="Calibri" w:hAnsi="Calibri" w:cs="Calibri"/>
            <w:sz w:val="22"/>
            <w:szCs w:val="22"/>
            <w:lang w:eastAsia="en-US"/>
          </w:rPr>
          <w:t>FAQ Ministère</w:t>
        </w:r>
      </w:hyperlink>
    </w:p>
    <w:p w14:paraId="15F63B00" w14:textId="0CA75B5C" w:rsidR="005D576F" w:rsidRDefault="005D576F" w:rsidP="00B23D08">
      <w:pPr>
        <w:pStyle w:val="Paragraphedeliste"/>
        <w:jc w:val="both"/>
        <w:rPr>
          <w:rFonts w:ascii="Calibri" w:hAnsi="Calibri" w:cs="Calibri"/>
          <w:color w:val="1F497D"/>
          <w:sz w:val="22"/>
          <w:szCs w:val="22"/>
          <w:lang w:eastAsia="en-US"/>
        </w:rPr>
      </w:pPr>
    </w:p>
    <w:p w14:paraId="224228FF" w14:textId="433302C3" w:rsidR="00431B6F" w:rsidRPr="00FB05CB" w:rsidRDefault="00431B6F" w:rsidP="00FB05CB">
      <w:pPr>
        <w:rPr>
          <w:rFonts w:ascii="Calibri" w:hAnsi="Calibri" w:cs="Calibri"/>
          <w:color w:val="1F497D"/>
          <w:sz w:val="22"/>
          <w:szCs w:val="22"/>
          <w:lang w:eastAsia="en-US"/>
        </w:rPr>
      </w:pPr>
    </w:p>
    <w:p w14:paraId="5F2B88BD" w14:textId="66FEB652" w:rsidR="00431B6F" w:rsidRPr="00235FB0" w:rsidRDefault="00235FB0" w:rsidP="00235FB0">
      <w:pPr>
        <w:rPr>
          <w:b/>
          <w:u w:val="single"/>
        </w:rPr>
      </w:pPr>
      <w:r w:rsidRPr="00235FB0">
        <w:rPr>
          <w:rFonts w:ascii="Calibri" w:hAnsi="Calibri"/>
          <w:b/>
          <w:color w:val="1F497D"/>
          <w:sz w:val="22"/>
          <w:szCs w:val="22"/>
          <w:u w:val="single"/>
          <w:lang w:eastAsia="en-US"/>
        </w:rPr>
        <w:t>BEXSERO®</w:t>
      </w:r>
    </w:p>
    <w:p w14:paraId="2429AD27" w14:textId="77777777" w:rsidR="00431B6F" w:rsidRPr="00186F6C" w:rsidRDefault="00431B6F" w:rsidP="00431B6F">
      <w:pPr>
        <w:pStyle w:val="Paragraphedeliste"/>
        <w:ind w:left="360"/>
      </w:pPr>
    </w:p>
    <w:p w14:paraId="6DE4799F" w14:textId="6038EA97" w:rsidR="00431B6F" w:rsidRDefault="00B7594B" w:rsidP="005D576F">
      <w:pPr>
        <w:pStyle w:val="Paragraphedeliste"/>
        <w:ind w:left="708"/>
        <w:jc w:val="both"/>
        <w:rPr>
          <w:rFonts w:ascii="Calibri" w:hAnsi="Calibri"/>
          <w:color w:val="1F497D"/>
          <w:sz w:val="22"/>
          <w:szCs w:val="22"/>
          <w:lang w:eastAsia="en-US"/>
        </w:rPr>
      </w:pPr>
      <w:hyperlink r:id="rId32" w:history="1">
        <w:r>
          <w:rPr>
            <w:rStyle w:val="Lienhypertexte"/>
            <w:rFonts w:ascii="Calibri" w:hAnsi="Calibri"/>
            <w:sz w:val="22"/>
            <w:szCs w:val="22"/>
            <w:lang w:eastAsia="en-US"/>
          </w:rPr>
          <w:t>Arrêté du 16 décembre 201</w:t>
        </w:r>
        <w:r w:rsidRPr="00B7594B">
          <w:rPr>
            <w:rStyle w:val="Lienhypertexte"/>
            <w:rFonts w:ascii="Calibri" w:hAnsi="Calibri"/>
            <w:sz w:val="22"/>
            <w:szCs w:val="22"/>
            <w:lang w:eastAsia="en-US"/>
          </w:rPr>
          <w:t>4</w:t>
        </w:r>
      </w:hyperlink>
      <w:r>
        <w:rPr>
          <w:rFonts w:ascii="Calibri" w:hAnsi="Calibri"/>
          <w:color w:val="1F497D"/>
          <w:sz w:val="22"/>
          <w:szCs w:val="22"/>
          <w:lang w:eastAsia="en-US"/>
        </w:rPr>
        <w:t xml:space="preserve">, </w:t>
      </w:r>
      <w:hyperlink r:id="rId33" w:history="1">
        <w:r w:rsidRPr="00B7594B">
          <w:rPr>
            <w:rStyle w:val="Lienhypertexte"/>
            <w:rFonts w:ascii="Calibri" w:hAnsi="Calibri"/>
            <w:sz w:val="22"/>
            <w:szCs w:val="22"/>
            <w:lang w:eastAsia="en-US"/>
          </w:rPr>
          <w:t>Arrêté du 25 avril 2022</w:t>
        </w:r>
      </w:hyperlink>
      <w:r w:rsidR="009C6597">
        <w:t xml:space="preserve"> </w:t>
      </w:r>
      <w:r w:rsidR="009C6597" w:rsidRPr="009C6597">
        <w:rPr>
          <w:rFonts w:asciiTheme="minorHAnsi" w:hAnsiTheme="minorHAnsi" w:cstheme="minorHAnsi"/>
          <w:sz w:val="22"/>
          <w:szCs w:val="22"/>
        </w:rPr>
        <w:t>et</w:t>
      </w:r>
      <w:r w:rsidR="009C6597">
        <w:t xml:space="preserve"> </w:t>
      </w:r>
      <w:hyperlink r:id="rId34" w:history="1">
        <w:r w:rsidR="00431B6F" w:rsidRPr="00BD27FD">
          <w:rPr>
            <w:rStyle w:val="Lienhypertexte"/>
            <w:rFonts w:ascii="Calibri" w:hAnsi="Calibri"/>
            <w:sz w:val="22"/>
            <w:szCs w:val="22"/>
            <w:lang w:eastAsia="en-US"/>
          </w:rPr>
          <w:t>Arrêté du 2 avril 2025</w:t>
        </w:r>
        <w:r w:rsidR="00BD27FD" w:rsidRPr="00BD27FD">
          <w:rPr>
            <w:rStyle w:val="Lienhypertexte"/>
            <w:rFonts w:ascii="Calibri" w:hAnsi="Calibri"/>
            <w:sz w:val="22"/>
            <w:szCs w:val="22"/>
            <w:lang w:eastAsia="en-US"/>
          </w:rPr>
          <w:t> </w:t>
        </w:r>
      </w:hyperlink>
      <w:r w:rsidR="00BD27FD">
        <w:rPr>
          <w:rFonts w:ascii="Calibri" w:hAnsi="Calibri"/>
          <w:color w:val="1F497D"/>
          <w:sz w:val="22"/>
          <w:szCs w:val="22"/>
          <w:lang w:eastAsia="en-US"/>
        </w:rPr>
        <w:t xml:space="preserve">: </w:t>
      </w:r>
      <w:r w:rsidR="00431B6F" w:rsidRPr="00FE6725">
        <w:rPr>
          <w:rFonts w:ascii="Calibri" w:hAnsi="Calibri"/>
          <w:color w:val="1F497D"/>
          <w:sz w:val="22"/>
          <w:szCs w:val="22"/>
          <w:lang w:eastAsia="en-US"/>
        </w:rPr>
        <w:t>prise en charge dans l’immunisation active co</w:t>
      </w:r>
      <w:r w:rsidR="00431B6F">
        <w:rPr>
          <w:rFonts w:ascii="Calibri" w:hAnsi="Calibri"/>
          <w:color w:val="1F497D"/>
          <w:sz w:val="22"/>
          <w:szCs w:val="22"/>
          <w:lang w:eastAsia="en-US"/>
        </w:rPr>
        <w:t xml:space="preserve">ntre les infections invasives à </w:t>
      </w:r>
      <w:r w:rsidR="00431B6F" w:rsidRPr="00FE6725">
        <w:rPr>
          <w:rFonts w:ascii="Calibri" w:hAnsi="Calibri"/>
          <w:color w:val="1F497D"/>
          <w:sz w:val="22"/>
          <w:szCs w:val="22"/>
          <w:lang w:eastAsia="en-US"/>
        </w:rPr>
        <w:t>méningocoque de sérogroupe B, des adolescents et des jeunes adultes de 15 à 24 ans.</w:t>
      </w:r>
      <w:r w:rsidR="00431B6F">
        <w:rPr>
          <w:rFonts w:ascii="Calibri" w:hAnsi="Calibri"/>
          <w:color w:val="1F497D"/>
          <w:sz w:val="22"/>
          <w:szCs w:val="22"/>
          <w:lang w:eastAsia="en-US"/>
        </w:rPr>
        <w:t xml:space="preserve"> </w:t>
      </w:r>
      <w:r w:rsidR="00431B6F" w:rsidRPr="00FE6725">
        <w:rPr>
          <w:rFonts w:ascii="Calibri" w:hAnsi="Calibri"/>
          <w:color w:val="1F497D"/>
          <w:sz w:val="22"/>
          <w:szCs w:val="22"/>
          <w:lang w:eastAsia="en-US"/>
        </w:rPr>
        <w:t xml:space="preserve">Cette catégorie s'ajoute aux autres populations recommandées par la </w:t>
      </w:r>
      <w:hyperlink r:id="rId35" w:history="1">
        <w:r w:rsidR="00431B6F" w:rsidRPr="00BD27FD">
          <w:rPr>
            <w:rStyle w:val="Lienhypertexte"/>
            <w:rFonts w:ascii="Calibri" w:hAnsi="Calibri"/>
            <w:sz w:val="22"/>
            <w:szCs w:val="22"/>
            <w:lang w:eastAsia="en-US"/>
          </w:rPr>
          <w:t>HAS les 3 juin 2021</w:t>
        </w:r>
      </w:hyperlink>
      <w:r w:rsidR="00431B6F" w:rsidRPr="00FE6725">
        <w:rPr>
          <w:rFonts w:ascii="Calibri" w:hAnsi="Calibri"/>
          <w:color w:val="1F497D"/>
          <w:sz w:val="22"/>
          <w:szCs w:val="22"/>
          <w:lang w:eastAsia="en-US"/>
        </w:rPr>
        <w:t xml:space="preserve"> et </w:t>
      </w:r>
      <w:hyperlink r:id="rId36" w:history="1">
        <w:r w:rsidR="00431B6F" w:rsidRPr="00BD27FD">
          <w:rPr>
            <w:rStyle w:val="Lienhypertexte"/>
            <w:rFonts w:ascii="Calibri" w:hAnsi="Calibri"/>
            <w:sz w:val="22"/>
            <w:szCs w:val="22"/>
            <w:lang w:eastAsia="en-US"/>
          </w:rPr>
          <w:t>7 mars 2024</w:t>
        </w:r>
      </w:hyperlink>
      <w:r w:rsidR="00431B6F" w:rsidRPr="00FE6725">
        <w:rPr>
          <w:rFonts w:ascii="Calibri" w:hAnsi="Calibri"/>
          <w:color w:val="1F497D"/>
          <w:sz w:val="22"/>
          <w:szCs w:val="22"/>
          <w:lang w:eastAsia="en-US"/>
        </w:rPr>
        <w:t>.</w:t>
      </w:r>
    </w:p>
    <w:p w14:paraId="711ABB66" w14:textId="77777777" w:rsidR="00BD27FD" w:rsidRPr="00BD27FD" w:rsidRDefault="00BD27FD" w:rsidP="005D576F">
      <w:pPr>
        <w:pStyle w:val="Paragraphedeliste"/>
        <w:numPr>
          <w:ilvl w:val="0"/>
          <w:numId w:val="2"/>
        </w:numPr>
        <w:ind w:left="696"/>
        <w:jc w:val="both"/>
        <w:rPr>
          <w:rFonts w:ascii="Calibri" w:hAnsi="Calibri" w:cs="Calibri"/>
          <w:b/>
          <w:color w:val="1F497D"/>
          <w:sz w:val="22"/>
          <w:szCs w:val="22"/>
          <w:lang w:eastAsia="en-US"/>
        </w:rPr>
      </w:pPr>
      <w:r w:rsidRPr="00186F6C">
        <w:rPr>
          <w:rFonts w:ascii="Calibri" w:hAnsi="Calibri" w:cs="Calibri"/>
          <w:b/>
          <w:color w:val="1F497D"/>
          <w:sz w:val="22"/>
          <w:szCs w:val="22"/>
          <w:lang w:eastAsia="en-US"/>
        </w:rPr>
        <w:t>PEC chez tous les nourrissons</w:t>
      </w:r>
      <w:r>
        <w:rPr>
          <w:rFonts w:ascii="Calibri" w:hAnsi="Calibri" w:cs="Calibri"/>
          <w:b/>
          <w:color w:val="1F497D"/>
          <w:sz w:val="22"/>
          <w:szCs w:val="22"/>
          <w:lang w:eastAsia="en-US"/>
        </w:rPr>
        <w:t xml:space="preserve"> à partir de 2 mois jusqu’à 2 ans (Rappel si initiation avant 2 ans pris en charge également)</w:t>
      </w:r>
    </w:p>
    <w:p w14:paraId="299434F6" w14:textId="77777777" w:rsidR="00431B6F" w:rsidRDefault="00431B6F" w:rsidP="005D576F">
      <w:pPr>
        <w:pStyle w:val="Paragraphedeliste"/>
        <w:numPr>
          <w:ilvl w:val="0"/>
          <w:numId w:val="2"/>
        </w:numPr>
        <w:ind w:left="696"/>
        <w:jc w:val="both"/>
        <w:rPr>
          <w:rFonts w:ascii="Calibri" w:hAnsi="Calibri" w:cs="Calibri"/>
          <w:b/>
          <w:color w:val="1F497D"/>
          <w:sz w:val="22"/>
          <w:szCs w:val="22"/>
          <w:lang w:eastAsia="en-US"/>
        </w:rPr>
      </w:pPr>
      <w:r>
        <w:rPr>
          <w:rFonts w:ascii="Calibri" w:hAnsi="Calibri" w:cs="Calibri"/>
          <w:b/>
          <w:color w:val="1F497D"/>
          <w:sz w:val="22"/>
          <w:szCs w:val="22"/>
          <w:lang w:eastAsia="en-US"/>
        </w:rPr>
        <w:t>PEC des adolescents et jeunes adultes de 15 à 24 ans</w:t>
      </w:r>
    </w:p>
    <w:p w14:paraId="35C0936A" w14:textId="11895AC9" w:rsidR="00431B6F" w:rsidRDefault="00431B6F" w:rsidP="005D576F">
      <w:pPr>
        <w:pStyle w:val="Paragraphedeliste"/>
        <w:numPr>
          <w:ilvl w:val="0"/>
          <w:numId w:val="2"/>
        </w:numPr>
        <w:ind w:left="696"/>
        <w:jc w:val="both"/>
        <w:rPr>
          <w:rFonts w:ascii="Calibri" w:hAnsi="Calibri" w:cs="Calibri"/>
          <w:color w:val="1F497D" w:themeColor="text2"/>
          <w:sz w:val="22"/>
          <w:szCs w:val="22"/>
        </w:rPr>
      </w:pPr>
      <w:r w:rsidRPr="00FE6725">
        <w:rPr>
          <w:rFonts w:ascii="Calibri" w:hAnsi="Calibri" w:cs="Calibri"/>
          <w:b/>
          <w:color w:val="1F497D"/>
          <w:sz w:val="22"/>
          <w:szCs w:val="22"/>
          <w:lang w:eastAsia="en-US"/>
        </w:rPr>
        <w:t>PEC dans la population à risque de contracter une infection invasive à méningocoque ou</w:t>
      </w:r>
      <w:r>
        <w:rPr>
          <w:rFonts w:ascii="Calibri" w:hAnsi="Calibri" w:cs="Calibri"/>
          <w:b/>
          <w:color w:val="1F497D"/>
          <w:sz w:val="22"/>
          <w:szCs w:val="22"/>
          <w:lang w:eastAsia="en-US"/>
        </w:rPr>
        <w:t xml:space="preserve"> pop</w:t>
      </w:r>
      <w:r w:rsidRPr="00FE6725">
        <w:rPr>
          <w:rFonts w:ascii="Calibri" w:hAnsi="Calibri" w:cs="Calibri"/>
          <w:b/>
          <w:color w:val="1F497D"/>
          <w:sz w:val="22"/>
          <w:szCs w:val="22"/>
          <w:lang w:eastAsia="en-US"/>
        </w:rPr>
        <w:t>ulations ciblées dans le cadre de situations spécifiques (</w:t>
      </w:r>
      <w:r>
        <w:rPr>
          <w:rFonts w:ascii="Calibri" w:hAnsi="Calibri" w:cs="Calibri"/>
          <w:b/>
          <w:color w:val="1F497D"/>
          <w:sz w:val="22"/>
          <w:szCs w:val="22"/>
          <w:lang w:eastAsia="en-US"/>
        </w:rPr>
        <w:t xml:space="preserve">ex : </w:t>
      </w:r>
      <w:r w:rsidRPr="00FE6725">
        <w:rPr>
          <w:rFonts w:ascii="Calibri" w:hAnsi="Calibri" w:cs="Calibri"/>
          <w:b/>
          <w:color w:val="1F497D"/>
          <w:sz w:val="22"/>
          <w:szCs w:val="22"/>
          <w:lang w:eastAsia="en-US"/>
        </w:rPr>
        <w:t>hyperendémie...)</w:t>
      </w:r>
      <w:r>
        <w:rPr>
          <w:rFonts w:ascii="Calibri" w:hAnsi="Calibri" w:cs="Calibri"/>
          <w:color w:val="1F497D" w:themeColor="text2"/>
          <w:sz w:val="22"/>
          <w:szCs w:val="22"/>
        </w:rPr>
        <w:t xml:space="preserve"> </w:t>
      </w:r>
    </w:p>
    <w:p w14:paraId="37E41F60" w14:textId="77777777" w:rsidR="00431B6F" w:rsidRDefault="00431B6F" w:rsidP="005D576F">
      <w:pPr>
        <w:pStyle w:val="Paragraphedeliste"/>
        <w:ind w:left="348"/>
        <w:jc w:val="both"/>
        <w:rPr>
          <w:rFonts w:ascii="Calibri" w:hAnsi="Calibri" w:cs="Calibri"/>
          <w:color w:val="1F497D" w:themeColor="text2"/>
          <w:sz w:val="22"/>
          <w:szCs w:val="22"/>
        </w:rPr>
      </w:pPr>
    </w:p>
    <w:p w14:paraId="459485DC" w14:textId="77777777" w:rsidR="00431B6F" w:rsidRDefault="00431B6F" w:rsidP="005D576F">
      <w:pPr>
        <w:pStyle w:val="Paragraphedeliste"/>
        <w:ind w:left="360"/>
        <w:jc w:val="both"/>
        <w:rPr>
          <w:rFonts w:ascii="Calibri" w:hAnsi="Calibri"/>
          <w:color w:val="1F497D"/>
          <w:sz w:val="22"/>
          <w:szCs w:val="22"/>
          <w:lang w:eastAsia="en-US"/>
        </w:rPr>
      </w:pPr>
    </w:p>
    <w:p w14:paraId="0133FD53" w14:textId="36BF5D56" w:rsidR="00DF3CC8" w:rsidRPr="00596A4F" w:rsidRDefault="00BD27FD" w:rsidP="00DF3CC8">
      <w:pPr>
        <w:jc w:val="both"/>
        <w:rPr>
          <w:b/>
          <w:u w:val="single"/>
        </w:rPr>
      </w:pPr>
      <w:r w:rsidRPr="00363AB3">
        <w:rPr>
          <w:rFonts w:ascii="Calibri" w:hAnsi="Calibri"/>
          <w:b/>
          <w:color w:val="1F497D"/>
          <w:sz w:val="22"/>
          <w:szCs w:val="22"/>
          <w:u w:val="single"/>
          <w:lang w:eastAsia="en-US"/>
        </w:rPr>
        <w:t>TRUMENBA®</w:t>
      </w:r>
    </w:p>
    <w:p w14:paraId="1EAE5B7C" w14:textId="77777777" w:rsidR="00431B6F" w:rsidRDefault="00431B6F" w:rsidP="005D576F">
      <w:pPr>
        <w:pStyle w:val="Paragraphedeliste"/>
        <w:ind w:left="360"/>
        <w:jc w:val="both"/>
        <w:rPr>
          <w:rFonts w:ascii="Calibri" w:hAnsi="Calibri" w:cs="Calibri"/>
          <w:color w:val="1F497D" w:themeColor="text2"/>
          <w:sz w:val="22"/>
          <w:szCs w:val="22"/>
        </w:rPr>
      </w:pPr>
    </w:p>
    <w:p w14:paraId="4400D05B" w14:textId="06D5DC7F" w:rsidR="00D867AD" w:rsidRPr="00D867AD" w:rsidRDefault="00D867AD" w:rsidP="00D867AD">
      <w:pPr>
        <w:pStyle w:val="Paragraphedeliste"/>
        <w:ind w:left="708"/>
        <w:jc w:val="both"/>
        <w:rPr>
          <w:rFonts w:ascii="Calibri" w:hAnsi="Calibri"/>
          <w:color w:val="1F497D"/>
          <w:sz w:val="22"/>
          <w:szCs w:val="22"/>
          <w:lang w:eastAsia="en-US"/>
        </w:rPr>
      </w:pPr>
      <w:hyperlink r:id="rId37" w:history="1">
        <w:r w:rsidRPr="00D867AD">
          <w:rPr>
            <w:rStyle w:val="Lienhypertexte"/>
            <w:rFonts w:ascii="Calibri" w:hAnsi="Calibri"/>
            <w:sz w:val="22"/>
            <w:szCs w:val="22"/>
            <w:lang w:eastAsia="en-US"/>
          </w:rPr>
          <w:t>Arrêté du 25 juillet 2025 </w:t>
        </w:r>
      </w:hyperlink>
      <w:r>
        <w:rPr>
          <w:rFonts w:ascii="Calibri" w:hAnsi="Calibri"/>
          <w:color w:val="1F497D"/>
          <w:sz w:val="22"/>
          <w:szCs w:val="22"/>
          <w:lang w:eastAsia="en-US"/>
        </w:rPr>
        <w:t xml:space="preserve">: </w:t>
      </w:r>
      <w:r w:rsidRPr="00FE6725">
        <w:rPr>
          <w:rFonts w:ascii="Calibri" w:hAnsi="Calibri"/>
          <w:color w:val="1F497D"/>
          <w:sz w:val="22"/>
          <w:szCs w:val="22"/>
          <w:lang w:eastAsia="en-US"/>
        </w:rPr>
        <w:t xml:space="preserve">prise en charge dans </w:t>
      </w:r>
      <w:r w:rsidRPr="00A327F7">
        <w:rPr>
          <w:rFonts w:ascii="Calibri" w:hAnsi="Calibri"/>
          <w:color w:val="1F497D"/>
          <w:sz w:val="22"/>
          <w:szCs w:val="22"/>
          <w:lang w:eastAsia="en-US"/>
        </w:rPr>
        <w:t xml:space="preserve">l'immunisation active contre les infections invasives à méningocoque causées par Neisseria meningitidis de sérogroupe B, </w:t>
      </w:r>
      <w:r w:rsidR="00596A4F" w:rsidRPr="00596A4F">
        <w:rPr>
          <w:rFonts w:ascii="Calibri" w:hAnsi="Calibri"/>
          <w:color w:val="1F497D"/>
          <w:sz w:val="22"/>
          <w:szCs w:val="22"/>
          <w:lang w:eastAsia="en-US"/>
        </w:rPr>
        <w:t>des adolescents et des jeunes adultes de 15 à 24 ans</w:t>
      </w:r>
      <w:r w:rsidR="00596A4F">
        <w:rPr>
          <w:rFonts w:ascii="Calibri" w:hAnsi="Calibri"/>
          <w:color w:val="1F497D"/>
          <w:sz w:val="22"/>
          <w:szCs w:val="22"/>
          <w:lang w:eastAsia="en-US"/>
        </w:rPr>
        <w:t xml:space="preserve"> et </w:t>
      </w:r>
      <w:r w:rsidRPr="00A327F7">
        <w:rPr>
          <w:rFonts w:ascii="Calibri" w:hAnsi="Calibri"/>
          <w:color w:val="1F497D"/>
          <w:sz w:val="22"/>
          <w:szCs w:val="22"/>
          <w:lang w:eastAsia="en-US"/>
        </w:rPr>
        <w:t xml:space="preserve">des sujets </w:t>
      </w:r>
      <w:r w:rsidRPr="00596A4F">
        <w:rPr>
          <w:rFonts w:ascii="Calibri" w:hAnsi="Calibri"/>
          <w:b/>
          <w:color w:val="1F497D"/>
          <w:sz w:val="22"/>
          <w:szCs w:val="22"/>
          <w:u w:val="single"/>
          <w:lang w:eastAsia="en-US"/>
        </w:rPr>
        <w:t>à partir de l'âge de 10 ans uniquement</w:t>
      </w:r>
      <w:r w:rsidRPr="00A327F7">
        <w:rPr>
          <w:rFonts w:ascii="Calibri" w:hAnsi="Calibri"/>
          <w:color w:val="1F497D"/>
          <w:sz w:val="22"/>
          <w:szCs w:val="22"/>
          <w:lang w:eastAsia="en-US"/>
        </w:rPr>
        <w:t xml:space="preserve"> dans les populations recommandées par la </w:t>
      </w:r>
      <w:hyperlink r:id="rId38" w:history="1">
        <w:r w:rsidR="00596A4F" w:rsidRPr="00BD27FD">
          <w:rPr>
            <w:rStyle w:val="Lienhypertexte"/>
            <w:rFonts w:ascii="Calibri" w:hAnsi="Calibri"/>
            <w:sz w:val="22"/>
            <w:szCs w:val="22"/>
            <w:lang w:eastAsia="en-US"/>
          </w:rPr>
          <w:t>HAS les 3 juin 2021</w:t>
        </w:r>
      </w:hyperlink>
      <w:r w:rsidR="00596A4F" w:rsidRPr="00FE6725">
        <w:rPr>
          <w:rFonts w:ascii="Calibri" w:hAnsi="Calibri"/>
          <w:color w:val="1F497D"/>
          <w:sz w:val="22"/>
          <w:szCs w:val="22"/>
          <w:lang w:eastAsia="en-US"/>
        </w:rPr>
        <w:t xml:space="preserve"> et </w:t>
      </w:r>
      <w:hyperlink r:id="rId39" w:history="1">
        <w:r w:rsidR="00596A4F" w:rsidRPr="00BD27FD">
          <w:rPr>
            <w:rStyle w:val="Lienhypertexte"/>
            <w:rFonts w:ascii="Calibri" w:hAnsi="Calibri"/>
            <w:sz w:val="22"/>
            <w:szCs w:val="22"/>
            <w:lang w:eastAsia="en-US"/>
          </w:rPr>
          <w:t>7 mars 2024</w:t>
        </w:r>
      </w:hyperlink>
      <w:r w:rsidR="00596A4F" w:rsidRPr="00FE6725">
        <w:rPr>
          <w:rFonts w:ascii="Calibri" w:hAnsi="Calibri"/>
          <w:color w:val="1F497D"/>
          <w:sz w:val="22"/>
          <w:szCs w:val="22"/>
          <w:lang w:eastAsia="en-US"/>
        </w:rPr>
        <w:t>.</w:t>
      </w:r>
    </w:p>
    <w:p w14:paraId="1D6FE9EE" w14:textId="77777777" w:rsidR="00D867AD" w:rsidRDefault="00D867AD" w:rsidP="00D867AD">
      <w:pPr>
        <w:pStyle w:val="Paragraphedeliste"/>
        <w:numPr>
          <w:ilvl w:val="0"/>
          <w:numId w:val="2"/>
        </w:numPr>
        <w:jc w:val="both"/>
        <w:rPr>
          <w:rFonts w:ascii="Calibri" w:hAnsi="Calibri" w:cs="Calibri"/>
          <w:b/>
          <w:color w:val="1F497D"/>
          <w:sz w:val="22"/>
          <w:szCs w:val="22"/>
          <w:lang w:eastAsia="en-US"/>
        </w:rPr>
      </w:pPr>
      <w:r>
        <w:rPr>
          <w:rFonts w:ascii="Calibri" w:hAnsi="Calibri" w:cs="Calibri"/>
          <w:b/>
          <w:color w:val="1F497D"/>
          <w:sz w:val="22"/>
          <w:szCs w:val="22"/>
          <w:lang w:eastAsia="en-US"/>
        </w:rPr>
        <w:t>PEC des adolescents et jeunes adultes de 15 à 24 ans</w:t>
      </w:r>
    </w:p>
    <w:p w14:paraId="696E1FDB" w14:textId="5507D18A" w:rsidR="00D867AD" w:rsidRDefault="00D867AD" w:rsidP="00D867AD">
      <w:pPr>
        <w:pStyle w:val="Paragraphedeliste"/>
        <w:numPr>
          <w:ilvl w:val="0"/>
          <w:numId w:val="2"/>
        </w:numPr>
        <w:jc w:val="both"/>
        <w:rPr>
          <w:rFonts w:ascii="Calibri" w:hAnsi="Calibri" w:cs="Calibri"/>
          <w:color w:val="1F497D" w:themeColor="text2"/>
          <w:sz w:val="22"/>
          <w:szCs w:val="22"/>
        </w:rPr>
      </w:pPr>
      <w:r w:rsidRPr="00FE6725">
        <w:rPr>
          <w:rFonts w:ascii="Calibri" w:hAnsi="Calibri" w:cs="Calibri"/>
          <w:b/>
          <w:color w:val="1F497D"/>
          <w:sz w:val="22"/>
          <w:szCs w:val="22"/>
          <w:lang w:eastAsia="en-US"/>
        </w:rPr>
        <w:t>PEC dans la population à risque de contracter une infection invasive à méningocoque</w:t>
      </w:r>
      <w:r>
        <w:rPr>
          <w:rFonts w:ascii="Calibri" w:hAnsi="Calibri" w:cs="Calibri"/>
          <w:b/>
          <w:color w:val="1F497D"/>
          <w:sz w:val="22"/>
          <w:szCs w:val="22"/>
          <w:lang w:eastAsia="en-US"/>
        </w:rPr>
        <w:t xml:space="preserve"> </w:t>
      </w:r>
      <w:r w:rsidRPr="00FE6725">
        <w:rPr>
          <w:rFonts w:ascii="Calibri" w:hAnsi="Calibri" w:cs="Calibri"/>
          <w:b/>
          <w:color w:val="1F497D"/>
          <w:sz w:val="22"/>
          <w:szCs w:val="22"/>
          <w:lang w:eastAsia="en-US"/>
        </w:rPr>
        <w:t>ou</w:t>
      </w:r>
      <w:r>
        <w:rPr>
          <w:rFonts w:ascii="Calibri" w:hAnsi="Calibri" w:cs="Calibri"/>
          <w:b/>
          <w:color w:val="1F497D"/>
          <w:sz w:val="22"/>
          <w:szCs w:val="22"/>
          <w:lang w:eastAsia="en-US"/>
        </w:rPr>
        <w:t xml:space="preserve"> pop</w:t>
      </w:r>
      <w:r w:rsidRPr="00FE6725">
        <w:rPr>
          <w:rFonts w:ascii="Calibri" w:hAnsi="Calibri" w:cs="Calibri"/>
          <w:b/>
          <w:color w:val="1F497D"/>
          <w:sz w:val="22"/>
          <w:szCs w:val="22"/>
          <w:lang w:eastAsia="en-US"/>
        </w:rPr>
        <w:t>ulations ciblées dans le cadre de situations spécifiques (</w:t>
      </w:r>
      <w:r>
        <w:rPr>
          <w:rFonts w:ascii="Calibri" w:hAnsi="Calibri" w:cs="Calibri"/>
          <w:b/>
          <w:color w:val="1F497D"/>
          <w:sz w:val="22"/>
          <w:szCs w:val="22"/>
          <w:lang w:eastAsia="en-US"/>
        </w:rPr>
        <w:t xml:space="preserve">ex : </w:t>
      </w:r>
      <w:r w:rsidRPr="00FE6725">
        <w:rPr>
          <w:rFonts w:ascii="Calibri" w:hAnsi="Calibri" w:cs="Calibri"/>
          <w:b/>
          <w:color w:val="1F497D"/>
          <w:sz w:val="22"/>
          <w:szCs w:val="22"/>
          <w:lang w:eastAsia="en-US"/>
        </w:rPr>
        <w:t>hyperendémie...)</w:t>
      </w:r>
      <w:r>
        <w:rPr>
          <w:rFonts w:ascii="Calibri" w:hAnsi="Calibri" w:cs="Calibri"/>
          <w:color w:val="1F497D" w:themeColor="text2"/>
          <w:sz w:val="22"/>
          <w:szCs w:val="22"/>
        </w:rPr>
        <w:t xml:space="preserve"> </w:t>
      </w:r>
      <w:r w:rsidR="004855F6">
        <w:rPr>
          <w:rFonts w:ascii="Calibri" w:hAnsi="Calibri" w:cs="Calibri"/>
          <w:color w:val="1F497D" w:themeColor="text2"/>
          <w:sz w:val="22"/>
          <w:szCs w:val="22"/>
        </w:rPr>
        <w:t>à partir de l’âge de 10 ans uniquement.</w:t>
      </w:r>
    </w:p>
    <w:p w14:paraId="21F85CD8" w14:textId="4F7FC43F" w:rsidR="0009721A" w:rsidRPr="00DF3CC8" w:rsidRDefault="0009721A" w:rsidP="00D867AD">
      <w:pPr>
        <w:ind w:left="336"/>
        <w:jc w:val="both"/>
        <w:rPr>
          <w:rFonts w:asciiTheme="minorHAnsi" w:hAnsiTheme="minorHAnsi" w:cstheme="minorHAnsi"/>
          <w:sz w:val="22"/>
          <w:szCs w:val="22"/>
        </w:rPr>
      </w:pPr>
    </w:p>
    <w:sectPr w:rsidR="0009721A" w:rsidRPr="00DF3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E5C"/>
    <w:multiLevelType w:val="hybridMultilevel"/>
    <w:tmpl w:val="A81004DC"/>
    <w:lvl w:ilvl="0" w:tplc="10AE4F70">
      <w:numFmt w:val="bullet"/>
      <w:lvlText w:val=""/>
      <w:lvlJc w:val="left"/>
      <w:pPr>
        <w:ind w:left="720" w:hanging="360"/>
      </w:pPr>
      <w:rPr>
        <w:rFonts w:ascii="Wingdings" w:eastAsia="Calibri" w:hAnsi="Wingdings"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2C55DC"/>
    <w:multiLevelType w:val="hybridMultilevel"/>
    <w:tmpl w:val="59A6ACF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161E3E69"/>
    <w:multiLevelType w:val="hybridMultilevel"/>
    <w:tmpl w:val="CCD8FA16"/>
    <w:lvl w:ilvl="0" w:tplc="35FAF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BA5289"/>
    <w:multiLevelType w:val="hybridMultilevel"/>
    <w:tmpl w:val="6EF0655E"/>
    <w:lvl w:ilvl="0" w:tplc="48C41B0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56C6330"/>
    <w:multiLevelType w:val="hybridMultilevel"/>
    <w:tmpl w:val="CBF030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52339A8"/>
    <w:multiLevelType w:val="hybridMultilevel"/>
    <w:tmpl w:val="EA008686"/>
    <w:lvl w:ilvl="0" w:tplc="847A9C7C">
      <w:numFmt w:val="bullet"/>
      <w:lvlText w:val=""/>
      <w:lvlJc w:val="left"/>
      <w:pPr>
        <w:ind w:left="720" w:hanging="360"/>
      </w:pPr>
      <w:rPr>
        <w:rFonts w:ascii="Wingdings" w:eastAsia="Calibri" w:hAnsi="Wingdings" w:cs="Calibri" w:hint="default"/>
        <w:color w:val="1F497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32F10"/>
    <w:multiLevelType w:val="multilevel"/>
    <w:tmpl w:val="5802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E2D6A"/>
    <w:multiLevelType w:val="hybridMultilevel"/>
    <w:tmpl w:val="AE822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716C8"/>
    <w:multiLevelType w:val="hybridMultilevel"/>
    <w:tmpl w:val="9AE608A0"/>
    <w:lvl w:ilvl="0" w:tplc="040C000D">
      <w:start w:val="1"/>
      <w:numFmt w:val="bullet"/>
      <w:lvlText w:val=""/>
      <w:lvlJc w:val="left"/>
      <w:pPr>
        <w:ind w:left="696" w:hanging="360"/>
      </w:pPr>
      <w:rPr>
        <w:rFonts w:ascii="Wingdings" w:hAnsi="Wingdings" w:hint="default"/>
      </w:rPr>
    </w:lvl>
    <w:lvl w:ilvl="1" w:tplc="040C0003">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9" w15:restartNumberingAfterBreak="0">
    <w:nsid w:val="7870264E"/>
    <w:multiLevelType w:val="multilevel"/>
    <w:tmpl w:val="9450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620DF"/>
    <w:multiLevelType w:val="hybridMultilevel"/>
    <w:tmpl w:val="8AC8C5C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545479400">
    <w:abstractNumId w:val="3"/>
  </w:num>
  <w:num w:numId="2" w16cid:durableId="1437167855">
    <w:abstractNumId w:val="1"/>
  </w:num>
  <w:num w:numId="3" w16cid:durableId="1493373104">
    <w:abstractNumId w:val="0"/>
  </w:num>
  <w:num w:numId="4" w16cid:durableId="1871453394">
    <w:abstractNumId w:val="10"/>
  </w:num>
  <w:num w:numId="5" w16cid:durableId="1612544120">
    <w:abstractNumId w:val="5"/>
  </w:num>
  <w:num w:numId="6" w16cid:durableId="963193903">
    <w:abstractNumId w:val="8"/>
  </w:num>
  <w:num w:numId="7" w16cid:durableId="1692488851">
    <w:abstractNumId w:val="4"/>
  </w:num>
  <w:num w:numId="8" w16cid:durableId="2089884131">
    <w:abstractNumId w:val="7"/>
  </w:num>
  <w:num w:numId="9" w16cid:durableId="1522551306">
    <w:abstractNumId w:val="9"/>
  </w:num>
  <w:num w:numId="10" w16cid:durableId="780225904">
    <w:abstractNumId w:val="6"/>
  </w:num>
  <w:num w:numId="11" w16cid:durableId="135777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92"/>
    <w:rsid w:val="0009721A"/>
    <w:rsid w:val="00161579"/>
    <w:rsid w:val="001B23BF"/>
    <w:rsid w:val="0022320E"/>
    <w:rsid w:val="00223E26"/>
    <w:rsid w:val="00235FB0"/>
    <w:rsid w:val="002366F6"/>
    <w:rsid w:val="002E713A"/>
    <w:rsid w:val="002F41E8"/>
    <w:rsid w:val="00324886"/>
    <w:rsid w:val="0033617F"/>
    <w:rsid w:val="00363AB3"/>
    <w:rsid w:val="003F0148"/>
    <w:rsid w:val="00411CEF"/>
    <w:rsid w:val="00431B6F"/>
    <w:rsid w:val="004855F6"/>
    <w:rsid w:val="00571C04"/>
    <w:rsid w:val="00596A4F"/>
    <w:rsid w:val="005D576F"/>
    <w:rsid w:val="006D60AE"/>
    <w:rsid w:val="007721E7"/>
    <w:rsid w:val="0089438C"/>
    <w:rsid w:val="008D19E5"/>
    <w:rsid w:val="008F0692"/>
    <w:rsid w:val="0092395D"/>
    <w:rsid w:val="00977BDB"/>
    <w:rsid w:val="00993D70"/>
    <w:rsid w:val="009B6174"/>
    <w:rsid w:val="009C6597"/>
    <w:rsid w:val="009D11D7"/>
    <w:rsid w:val="009E120A"/>
    <w:rsid w:val="00B23D08"/>
    <w:rsid w:val="00B7594B"/>
    <w:rsid w:val="00BD176E"/>
    <w:rsid w:val="00BD25E9"/>
    <w:rsid w:val="00BD27FD"/>
    <w:rsid w:val="00C859AE"/>
    <w:rsid w:val="00CD61D0"/>
    <w:rsid w:val="00D867AD"/>
    <w:rsid w:val="00DF3CC8"/>
    <w:rsid w:val="00E361C2"/>
    <w:rsid w:val="00E55946"/>
    <w:rsid w:val="00E974FB"/>
    <w:rsid w:val="00ED2305"/>
    <w:rsid w:val="00F507F1"/>
    <w:rsid w:val="00F907A1"/>
    <w:rsid w:val="00FB0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F26B"/>
  <w15:chartTrackingRefBased/>
  <w15:docId w15:val="{1A05A452-949F-4C6C-9A66-992B3E4C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AD"/>
    <w:pPr>
      <w:spacing w:after="0" w:line="240" w:lineRule="auto"/>
    </w:pPr>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1B6F"/>
    <w:pPr>
      <w:ind w:left="720"/>
    </w:pPr>
  </w:style>
  <w:style w:type="paragraph" w:styleId="Sansinterligne">
    <w:name w:val="No Spacing"/>
    <w:uiPriority w:val="1"/>
    <w:qFormat/>
    <w:rsid w:val="00431B6F"/>
    <w:pPr>
      <w:spacing w:after="0" w:line="240" w:lineRule="auto"/>
    </w:pPr>
    <w:rPr>
      <w:rFonts w:ascii="Times New Roman" w:eastAsia="Calibri" w:hAnsi="Times New Roman" w:cs="Times New Roman"/>
      <w:sz w:val="24"/>
      <w:szCs w:val="24"/>
      <w:lang w:eastAsia="fr-FR"/>
    </w:rPr>
  </w:style>
  <w:style w:type="character" w:styleId="Lienhypertexte">
    <w:name w:val="Hyperlink"/>
    <w:basedOn w:val="Policepardfaut"/>
    <w:uiPriority w:val="99"/>
    <w:unhideWhenUsed/>
    <w:rsid w:val="00161579"/>
    <w:rPr>
      <w:color w:val="0000FF" w:themeColor="hyperlink"/>
      <w:u w:val="single"/>
    </w:rPr>
  </w:style>
  <w:style w:type="character" w:styleId="Lienhypertextesuivivisit">
    <w:name w:val="FollowedHyperlink"/>
    <w:basedOn w:val="Policepardfaut"/>
    <w:uiPriority w:val="99"/>
    <w:semiHidden/>
    <w:unhideWhenUsed/>
    <w:rsid w:val="008D19E5"/>
    <w:rPr>
      <w:color w:val="800080" w:themeColor="followedHyperlink"/>
      <w:u w:val="single"/>
    </w:rPr>
  </w:style>
  <w:style w:type="character" w:styleId="Marquedecommentaire">
    <w:name w:val="annotation reference"/>
    <w:basedOn w:val="Policepardfaut"/>
    <w:uiPriority w:val="99"/>
    <w:semiHidden/>
    <w:unhideWhenUsed/>
    <w:rsid w:val="00E361C2"/>
    <w:rPr>
      <w:sz w:val="16"/>
      <w:szCs w:val="16"/>
    </w:rPr>
  </w:style>
  <w:style w:type="paragraph" w:styleId="Commentaire">
    <w:name w:val="annotation text"/>
    <w:basedOn w:val="Normal"/>
    <w:link w:val="CommentaireCar"/>
    <w:uiPriority w:val="99"/>
    <w:semiHidden/>
    <w:unhideWhenUsed/>
    <w:rsid w:val="00E361C2"/>
    <w:rPr>
      <w:sz w:val="20"/>
      <w:szCs w:val="20"/>
    </w:rPr>
  </w:style>
  <w:style w:type="character" w:customStyle="1" w:styleId="CommentaireCar">
    <w:name w:val="Commentaire Car"/>
    <w:basedOn w:val="Policepardfaut"/>
    <w:link w:val="Commentaire"/>
    <w:uiPriority w:val="99"/>
    <w:semiHidden/>
    <w:rsid w:val="00E361C2"/>
    <w:rPr>
      <w:rFonts w:ascii="Times New Roman" w:eastAsia="Calibri"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361C2"/>
    <w:rPr>
      <w:b/>
      <w:bCs/>
    </w:rPr>
  </w:style>
  <w:style w:type="character" w:customStyle="1" w:styleId="ObjetducommentaireCar">
    <w:name w:val="Objet du commentaire Car"/>
    <w:basedOn w:val="CommentaireCar"/>
    <w:link w:val="Objetducommentaire"/>
    <w:uiPriority w:val="99"/>
    <w:semiHidden/>
    <w:rsid w:val="00E361C2"/>
    <w:rPr>
      <w:rFonts w:ascii="Times New Roman" w:eastAsia="Calibri"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361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1C2"/>
    <w:rPr>
      <w:rFonts w:ascii="Segoe UI" w:eastAsia="Calibri" w:hAnsi="Segoe UI" w:cs="Segoe UI"/>
      <w:sz w:val="18"/>
      <w:szCs w:val="18"/>
      <w:lang w:eastAsia="fr-FR"/>
    </w:rPr>
  </w:style>
  <w:style w:type="paragraph" w:customStyle="1" w:styleId="Default">
    <w:name w:val="Default"/>
    <w:rsid w:val="00DF3CC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ED2305"/>
    <w:pPr>
      <w:spacing w:after="0" w:line="240" w:lineRule="auto"/>
    </w:pPr>
    <w:rPr>
      <w:rFonts w:ascii="Times New Roman" w:eastAsia="Calibri"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4351">
      <w:bodyDiv w:val="1"/>
      <w:marLeft w:val="0"/>
      <w:marRight w:val="0"/>
      <w:marTop w:val="0"/>
      <w:marBottom w:val="0"/>
      <w:divBdr>
        <w:top w:val="none" w:sz="0" w:space="0" w:color="auto"/>
        <w:left w:val="none" w:sz="0" w:space="0" w:color="auto"/>
        <w:bottom w:val="none" w:sz="0" w:space="0" w:color="auto"/>
        <w:right w:val="none" w:sz="0" w:space="0" w:color="auto"/>
      </w:divBdr>
    </w:div>
    <w:div w:id="356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url?sa=t&amp;source=web&amp;rct=j&amp;opi=89978449&amp;url=https://www.has-sante.fr/upload/docs/application/pdf/2021-03/recommandation_vaccinale_contre_les_meningocoques_des_serogroupes_a_c_w_et_y_2021-03-30_11-41-37_392.pdf&amp;ved=2ahUKEwiu3Mb5rsGNAxX1SKQEHaPeA5gQFnoECBYQAQ&amp;usg=AOvVaw2FFfRRm92bE2DJtO4Izt00" TargetMode="External"/><Relationship Id="rId18" Type="http://schemas.openxmlformats.org/officeDocument/2006/relationships/hyperlink" Target="https://www.legifrance.gouv.fr/jorf/id/JORFTEXT000046107808?init=true&amp;page=1&amp;query=menquadfi&amp;searchField=ALL&amp;tab_selection=all" TargetMode="External"/><Relationship Id="rId26" Type="http://schemas.openxmlformats.org/officeDocument/2006/relationships/hyperlink" Target="https://www.has-sante.fr/plugins/ModuleXitiKLEE/types/FileDocument/doXiti.jsp?id=p_3244837" TargetMode="External"/><Relationship Id="rId39" Type="http://schemas.openxmlformats.org/officeDocument/2006/relationships/hyperlink" Target="https://www.has-sante.fr/jcms/p_3460601/fr/strategie-de-vaccination-contre-les-infections-invasives-a-meningocoques-revision-de-la-strategie-contre-les-serogroupes-acwy-et-b" TargetMode="External"/><Relationship Id="rId21" Type="http://schemas.openxmlformats.org/officeDocument/2006/relationships/hyperlink" Target="https://www.google.fr/url?sa=t&amp;source=web&amp;rct=j&amp;opi=89978449&amp;url=https://www.has-sante.fr/jcms/p_3528705/fr/recommandation-sur-l-interchangeabilite-des-vaccins-meningococciques-tetravalents-pour-l-administration-de-la-dose-de-rappel-a-l-age-de-12-mois&amp;ved=2ahUKEwjs8ty8rcGNAxXqQ6QEHTMCIpEQFnoECCwQAQ&amp;usg=AOvVaw09oXRH-r3Qa9i1WEnDLD1T" TargetMode="External"/><Relationship Id="rId34" Type="http://schemas.openxmlformats.org/officeDocument/2006/relationships/hyperlink" Target="https://www.legifrance.gouv.fr/jorf/id/JORFTEXT000051427381?init=true&amp;page=1&amp;query=bexsero&amp;searchField=ALL&amp;tab_selection=all" TargetMode="External"/><Relationship Id="rId7" Type="http://schemas.openxmlformats.org/officeDocument/2006/relationships/hyperlink" Target="https://www.has-sante.fr/jcms/p_3460601/fr/strategie-de-vaccination-contre-les-infections-invasives-a-meningocoques-revision-de-la-strategie-contre-les-serogroupes-acwy-et-b" TargetMode="External"/><Relationship Id="rId2" Type="http://schemas.openxmlformats.org/officeDocument/2006/relationships/styles" Target="styles.xml"/><Relationship Id="rId16" Type="http://schemas.openxmlformats.org/officeDocument/2006/relationships/hyperlink" Target="https://sante.gouv.fr/soins-et-maladies/maladies/maladies-de-l-enfant/article/nouvelles-obligations-vaccinales-meningocoques-questions-reponses-pour-le-grand" TargetMode="External"/><Relationship Id="rId20" Type="http://schemas.openxmlformats.org/officeDocument/2006/relationships/hyperlink" Target="https://www.has-sante.fr/jcms/p_3460601/fr/strategie-de-vaccination-contre-les-infections-invasives-a-meningocoques-revision-de-la-strategie-contre-les-serogroupes-acwy-et-b" TargetMode="External"/><Relationship Id="rId29" Type="http://schemas.openxmlformats.org/officeDocument/2006/relationships/hyperlink" Target="https://www.has-sante.fr/jcms/p_3460601/fr/strategie-de-vaccination-contre-les-infections-invasives-a-meningocoques-revision-de-la-strategie-contre-les-serogroupes-acwy-et-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france.gouv.fr/jorf/id/JORFARTI000049888954" TargetMode="External"/><Relationship Id="rId11" Type="http://schemas.openxmlformats.org/officeDocument/2006/relationships/hyperlink" Target="https://www.legifrance.gouv.fr/jorf/id/JORFTEXT000045309643?init=true&amp;page=1&amp;query=nimenrix&amp;searchField=ALL&amp;tab_selection=all" TargetMode="External"/><Relationship Id="rId24" Type="http://schemas.openxmlformats.org/officeDocument/2006/relationships/hyperlink" Target="https://www.has-sante.fr/jcms/p_3460601/fr/strategie-de-vaccination-contre-les-infections-invasives-a-meningocoques-revision-de-la-strategie-contre-les-serogroupes-acwy-et-b" TargetMode="External"/><Relationship Id="rId32" Type="http://schemas.openxmlformats.org/officeDocument/2006/relationships/hyperlink" Target="https://www.legifrance.gouv.fr/jorf/id/JORFTEXT000029917957?isAdvancedResult=&amp;page=1&amp;pageSize=10&amp;query=bexsero&amp;searchField=ALL&amp;searchProximity=&amp;searchType=ALL&amp;tab_selection=all&amp;typePagination=DEFAULT" TargetMode="External"/><Relationship Id="rId37" Type="http://schemas.openxmlformats.org/officeDocument/2006/relationships/hyperlink" Target="https://www.legifrance.gouv.fr/jorf/id/JORFTEXT000052000832?init=true&amp;page=1&amp;query=trumenba&amp;searchField=ALL&amp;tab_selection=all" TargetMode="External"/><Relationship Id="rId40" Type="http://schemas.openxmlformats.org/officeDocument/2006/relationships/fontTable" Target="fontTable.xml"/><Relationship Id="rId5" Type="http://schemas.openxmlformats.org/officeDocument/2006/relationships/hyperlink" Target="https://www.google.fr/url?sa=t&amp;source=web&amp;rct=j&amp;opi=89978449&amp;url=https://www.has-sante.fr/upload/docs/application/pdf/2021-03/recommandation_vaccinale_contre_les_meningocoques_des_serogroupes_a_c_w_et_y_2021-03-30_11-41-37_392.pdf&amp;ved=2ahUKEwiu3Mb5rsGNAxX1SKQEHaPeA5gQFnoECBYQAQ&amp;usg=AOvVaw2FFfRRm92bE2DJtO4Izt00" TargetMode="External"/><Relationship Id="rId15" Type="http://schemas.openxmlformats.org/officeDocument/2006/relationships/hyperlink" Target="https://www.google.fr/url?sa=t&amp;source=web&amp;rct=j&amp;opi=89978449&amp;url=https://www.has-sante.fr/jcms/p_3528705/fr/recommandation-sur-l-interchangeabilite-des-vaccins-meningococciques-tetravalents-pour-l-administration-de-la-dose-de-rappel-a-l-age-de-12-mois&amp;ved=2ahUKEwjs8ty8rcGNAxXqQ6QEHTMCIpEQFnoECCwQAQ&amp;usg=AOvVaw09oXRH-r3Qa9i1WEnDLD1T" TargetMode="External"/><Relationship Id="rId23" Type="http://schemas.openxmlformats.org/officeDocument/2006/relationships/hyperlink" Target="https://www.legifrance.gouv.fr/jorf/id/JORFTEXT000052009197?init=true&amp;page=1&amp;query=menveo&amp;searchField=ALL&amp;tab_selection=all" TargetMode="External"/><Relationship Id="rId28" Type="http://schemas.openxmlformats.org/officeDocument/2006/relationships/hyperlink" Target="https://www.legifrance.gouv.fr/jorf/id/JORFARTI000049888954" TargetMode="External"/><Relationship Id="rId36" Type="http://schemas.openxmlformats.org/officeDocument/2006/relationships/hyperlink" Target="https://www.has-sante.fr/jcms/p_3460601/fr/strategie-de-vaccination-contre-les-infections-invasives-a-meningocoques-revision-de-la-strategie-contre-les-serogroupes-acwy-et-b" TargetMode="External"/><Relationship Id="rId10" Type="http://schemas.openxmlformats.org/officeDocument/2006/relationships/hyperlink" Target="https://sante.gouv.fr/soins-et-maladies/maladies/maladies-de-l-enfant/article/nouvelles-obligations-vaccinales-meningocoques-questions-reponses-pour-le-grand" TargetMode="External"/><Relationship Id="rId19" Type="http://schemas.openxmlformats.org/officeDocument/2006/relationships/hyperlink" Target="https://www.legifrance.gouv.fr/jorf/id/JORFTEXT000050659873?init=true&amp;page=1&amp;query=menquadfi&amp;searchField=ALL&amp;tab_selection=all" TargetMode="External"/><Relationship Id="rId31" Type="http://schemas.openxmlformats.org/officeDocument/2006/relationships/hyperlink" Target="https://sante.gouv.fr/soins-et-maladies/maladies/maladies-de-l-enfant/article/nouvelles-obligations-vaccinales-meningocoques-questions-reponses-pour-le-grand" TargetMode="External"/><Relationship Id="rId4" Type="http://schemas.openxmlformats.org/officeDocument/2006/relationships/webSettings" Target="webSettings.xml"/><Relationship Id="rId9" Type="http://schemas.openxmlformats.org/officeDocument/2006/relationships/hyperlink" Target="https://www.has-sante.fr/jcms/p_3597672/fr/recrudescence-des-infections-invasives-a-meningocoques-de-nouvelles-recommandations-sur-le-rattrapage-vaccinal" TargetMode="External"/><Relationship Id="rId14" Type="http://schemas.openxmlformats.org/officeDocument/2006/relationships/hyperlink" Target="https://www.has-sante.fr/jcms/p_3460601/fr/strategie-de-vaccination-contre-les-infections-invasives-a-meningocoques-revision-de-la-strategie-contre-les-serogroupes-acwy-et-b" TargetMode="External"/><Relationship Id="rId22" Type="http://schemas.openxmlformats.org/officeDocument/2006/relationships/hyperlink" Target="https://www.has-sante.fr/plugins/ModuleXitiKLEE/types/FileDocument/doXiti.jsp?id=p_3244837" TargetMode="External"/><Relationship Id="rId27" Type="http://schemas.openxmlformats.org/officeDocument/2006/relationships/hyperlink" Target="https://www.has-sante.fr/jcms/p_3066921/fr/strategie-de-vaccination-pour-la-prevention-des-infections-invasives-a-meningocoques-le-serogroupe-b-et-la-place-de-bexsero" TargetMode="External"/><Relationship Id="rId30" Type="http://schemas.openxmlformats.org/officeDocument/2006/relationships/hyperlink" Target="https://www.has-sante.fr/jcms/p_3597672/fr/recrudescence-des-infections-invasives-a-meningocoques-de-nouvelles-recommandations-sur-le-rattrapage-vaccinal" TargetMode="External"/><Relationship Id="rId35" Type="http://schemas.openxmlformats.org/officeDocument/2006/relationships/hyperlink" Target="https://www.has-sante.fr/jcms/p_3066921/fr/strategie-de-vaccination-pour-la-prevention-des-infections-invasives-a-meningocoques-le-serogroupe-b-et-la-place-de-bexsero" TargetMode="External"/><Relationship Id="rId8" Type="http://schemas.openxmlformats.org/officeDocument/2006/relationships/hyperlink" Target="https://www.google.fr/url?sa=t&amp;source=web&amp;rct=j&amp;opi=89978449&amp;url=https://www.has-sante.fr/jcms/p_3528705/fr/recommandation-sur-l-interchangeabilite-des-vaccins-meningococciques-tetravalents-pour-l-administration-de-la-dose-de-rappel-a-l-age-de-12-mois&amp;ved=2ahUKEwjs8ty8rcGNAxXqQ6QEHTMCIpEQFnoECCwQAQ&amp;usg=AOvVaw09oXRH-r3Qa9i1WEnDLD1T" TargetMode="External"/><Relationship Id="rId3" Type="http://schemas.openxmlformats.org/officeDocument/2006/relationships/settings" Target="settings.xml"/><Relationship Id="rId12" Type="http://schemas.openxmlformats.org/officeDocument/2006/relationships/hyperlink" Target="https://www.legifrance.gouv.fr/jorf/id/JORFTEXT000050659873?init=true&amp;page=1&amp;query=NIMENRIX&amp;searchField=ALL&amp;tab_selection=all" TargetMode="External"/><Relationship Id="rId17" Type="http://schemas.openxmlformats.org/officeDocument/2006/relationships/hyperlink" Target="https://www.has-sante.fr/plugins/ModuleXitiKLEE/types/FileDocument/doXiti.jsp?id=p_3244837" TargetMode="External"/><Relationship Id="rId25" Type="http://schemas.openxmlformats.org/officeDocument/2006/relationships/hyperlink" Target="https://www.google.fr/url?sa=t&amp;source=web&amp;rct=j&amp;opi=89978449&amp;url=https://www.has-sante.fr/jcms/p_3528705/fr/recommandation-sur-l-interchangeabilite-des-vaccins-meningococciques-tetravalents-pour-l-administration-de-la-dose-de-rappel-a-l-age-de-12-mois&amp;ved=2ahUKEwjs8ty8rcGNAxXqQ6QEHTMCIpEQFnoECCwQAQ&amp;usg=AOvVaw09oXRH-r3Qa9i1WEnDLD1T" TargetMode="External"/><Relationship Id="rId33" Type="http://schemas.openxmlformats.org/officeDocument/2006/relationships/hyperlink" Target="https://www.legifrance.gouv.fr/jorf/id/JORFTEXT000045696894?isAdvancedResult=&amp;page=1&amp;pageSize=10&amp;query=bexsero&amp;searchField=ALL&amp;searchProximity=&amp;searchType=ALL&amp;tab_selection=all&amp;typePagination=DEFAULT" TargetMode="External"/><Relationship Id="rId38" Type="http://schemas.openxmlformats.org/officeDocument/2006/relationships/hyperlink" Target="https://www.has-sante.fr/jcms/p_3066921/fr/strategie-de-vaccination-pour-la-prevention-des-infections-invasives-a-meningocoques-le-serogroupe-b-et-la-place-de-bexse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2307</Words>
  <Characters>12690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OLIERO BEATRICE (DRSM PAYS DE LA LOIRE)</dc:creator>
  <cp:keywords/>
  <dc:description/>
  <cp:lastModifiedBy>Anne-Claire Oger</cp:lastModifiedBy>
  <cp:revision>2</cp:revision>
  <dcterms:created xsi:type="dcterms:W3CDTF">2025-09-01T09:19:00Z</dcterms:created>
  <dcterms:modified xsi:type="dcterms:W3CDTF">2025-09-01T09:19:00Z</dcterms:modified>
</cp:coreProperties>
</file>